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E605EE" w14:textId="77777777" w:rsidR="00622E7C" w:rsidRPr="002C46F3" w:rsidRDefault="00622E7C">
      <w:pPr>
        <w:widowControl w:val="0"/>
        <w:pBdr>
          <w:top w:val="nil"/>
          <w:left w:val="nil"/>
          <w:bottom w:val="nil"/>
          <w:right w:val="nil"/>
          <w:between w:val="nil"/>
        </w:pBdr>
        <w:rPr>
          <w:color w:val="000000"/>
        </w:rPr>
      </w:pPr>
    </w:p>
    <w:tbl>
      <w:tblPr>
        <w:tblStyle w:val="a2"/>
        <w:tblW w:w="902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995"/>
        <w:gridCol w:w="2346"/>
        <w:gridCol w:w="2529"/>
        <w:gridCol w:w="2159"/>
      </w:tblGrid>
      <w:tr w:rsidR="00622E7C" w:rsidRPr="002C46F3" w14:paraId="7FE605F3" w14:textId="77777777">
        <w:tc>
          <w:tcPr>
            <w:tcW w:w="1995" w:type="dxa"/>
          </w:tcPr>
          <w:p w14:paraId="7FE605EF" w14:textId="77777777" w:rsidR="00622E7C" w:rsidRPr="002C46F3" w:rsidRDefault="005226F7">
            <w:pPr>
              <w:jc w:val="center"/>
              <w:rPr>
                <w:b/>
                <w:sz w:val="28"/>
                <w:szCs w:val="28"/>
              </w:rPr>
            </w:pPr>
            <w:r w:rsidRPr="002C46F3">
              <w:rPr>
                <w:noProof/>
              </w:rPr>
              <w:drawing>
                <wp:inline distT="0" distB="0" distL="0" distR="0" wp14:anchorId="7FE60658" wp14:editId="7FE60659">
                  <wp:extent cx="775001" cy="653602"/>
                  <wp:effectExtent l="0" t="0" r="0" b="0"/>
                  <wp:docPr id="201378808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775001" cy="653602"/>
                          </a:xfrm>
                          <a:prstGeom prst="rect">
                            <a:avLst/>
                          </a:prstGeom>
                          <a:ln/>
                        </pic:spPr>
                      </pic:pic>
                    </a:graphicData>
                  </a:graphic>
                </wp:inline>
              </w:drawing>
            </w:r>
          </w:p>
        </w:tc>
        <w:tc>
          <w:tcPr>
            <w:tcW w:w="2346" w:type="dxa"/>
          </w:tcPr>
          <w:p w14:paraId="7FE605F0" w14:textId="77777777" w:rsidR="00622E7C" w:rsidRPr="002C46F3" w:rsidRDefault="005226F7">
            <w:pPr>
              <w:jc w:val="center"/>
              <w:rPr>
                <w:b/>
                <w:sz w:val="28"/>
                <w:szCs w:val="28"/>
              </w:rPr>
            </w:pPr>
            <w:r w:rsidRPr="002C46F3">
              <w:rPr>
                <w:b/>
                <w:noProof/>
                <w:sz w:val="28"/>
                <w:szCs w:val="28"/>
              </w:rPr>
              <w:drawing>
                <wp:inline distT="0" distB="0" distL="0" distR="0" wp14:anchorId="7FE6065A" wp14:editId="7FE6065B">
                  <wp:extent cx="1307228" cy="692053"/>
                  <wp:effectExtent l="0" t="0" r="0" b="0"/>
                  <wp:docPr id="201378808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1307228" cy="692053"/>
                          </a:xfrm>
                          <a:prstGeom prst="rect">
                            <a:avLst/>
                          </a:prstGeom>
                          <a:ln/>
                        </pic:spPr>
                      </pic:pic>
                    </a:graphicData>
                  </a:graphic>
                </wp:inline>
              </w:drawing>
            </w:r>
          </w:p>
        </w:tc>
        <w:tc>
          <w:tcPr>
            <w:tcW w:w="2529" w:type="dxa"/>
          </w:tcPr>
          <w:p w14:paraId="7FE605F1" w14:textId="77777777" w:rsidR="00622E7C" w:rsidRPr="002C46F3" w:rsidRDefault="005226F7">
            <w:pPr>
              <w:jc w:val="center"/>
              <w:rPr>
                <w:b/>
                <w:sz w:val="28"/>
                <w:szCs w:val="28"/>
              </w:rPr>
            </w:pPr>
            <w:r w:rsidRPr="002C46F3">
              <w:rPr>
                <w:b/>
                <w:noProof/>
                <w:sz w:val="28"/>
                <w:szCs w:val="28"/>
              </w:rPr>
              <w:drawing>
                <wp:inline distT="0" distB="0" distL="0" distR="0" wp14:anchorId="7FE6065C" wp14:editId="7FE6065D">
                  <wp:extent cx="1414133" cy="853142"/>
                  <wp:effectExtent l="0" t="0" r="0" b="0"/>
                  <wp:docPr id="2013788081" name="image6.png" descr="Une image contenant Graphique, cercle, capture d’écran, Polic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6.png" descr="Une image contenant Graphique, cercle, capture d’écran, Police&#10;&#10;Description générée automatiquement"/>
                          <pic:cNvPicPr preferRelativeResize="0"/>
                        </pic:nvPicPr>
                        <pic:blipFill>
                          <a:blip r:embed="rId13"/>
                          <a:srcRect/>
                          <a:stretch>
                            <a:fillRect/>
                          </a:stretch>
                        </pic:blipFill>
                        <pic:spPr>
                          <a:xfrm>
                            <a:off x="0" y="0"/>
                            <a:ext cx="1414133" cy="853142"/>
                          </a:xfrm>
                          <a:prstGeom prst="rect">
                            <a:avLst/>
                          </a:prstGeom>
                          <a:ln/>
                        </pic:spPr>
                      </pic:pic>
                    </a:graphicData>
                  </a:graphic>
                </wp:inline>
              </w:drawing>
            </w:r>
          </w:p>
        </w:tc>
        <w:tc>
          <w:tcPr>
            <w:tcW w:w="2159" w:type="dxa"/>
          </w:tcPr>
          <w:p w14:paraId="7FE605F2" w14:textId="77777777" w:rsidR="00622E7C" w:rsidRPr="002C46F3" w:rsidRDefault="005226F7">
            <w:pPr>
              <w:jc w:val="center"/>
              <w:rPr>
                <w:b/>
                <w:sz w:val="28"/>
                <w:szCs w:val="28"/>
              </w:rPr>
            </w:pPr>
            <w:r w:rsidRPr="002C46F3">
              <w:rPr>
                <w:b/>
                <w:noProof/>
                <w:sz w:val="28"/>
                <w:szCs w:val="28"/>
              </w:rPr>
              <w:drawing>
                <wp:inline distT="0" distB="0" distL="0" distR="0" wp14:anchorId="7FE6065E" wp14:editId="7FE6065F">
                  <wp:extent cx="1127279" cy="565824"/>
                  <wp:effectExtent l="0" t="0" r="0" b="0"/>
                  <wp:docPr id="201378808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1127279" cy="565824"/>
                          </a:xfrm>
                          <a:prstGeom prst="rect">
                            <a:avLst/>
                          </a:prstGeom>
                          <a:ln/>
                        </pic:spPr>
                      </pic:pic>
                    </a:graphicData>
                  </a:graphic>
                </wp:inline>
              </w:drawing>
            </w:r>
          </w:p>
        </w:tc>
      </w:tr>
      <w:tr w:rsidR="00622E7C" w:rsidRPr="002C46F3" w14:paraId="7FE605FC" w14:textId="77777777">
        <w:tc>
          <w:tcPr>
            <w:tcW w:w="1995" w:type="dxa"/>
          </w:tcPr>
          <w:p w14:paraId="7FE605F4" w14:textId="77777777" w:rsidR="00622E7C" w:rsidRPr="002C46F3" w:rsidRDefault="00622E7C">
            <w:pPr>
              <w:jc w:val="center"/>
              <w:rPr>
                <w:b/>
                <w:sz w:val="16"/>
                <w:szCs w:val="16"/>
              </w:rPr>
            </w:pPr>
          </w:p>
          <w:p w14:paraId="7FE605F5" w14:textId="77777777" w:rsidR="00622E7C" w:rsidRPr="002C46F3" w:rsidRDefault="005226F7">
            <w:pPr>
              <w:jc w:val="center"/>
              <w:rPr>
                <w:b/>
                <w:sz w:val="28"/>
                <w:szCs w:val="28"/>
              </w:rPr>
            </w:pPr>
            <w:r w:rsidRPr="002C46F3">
              <w:rPr>
                <w:b/>
                <w:noProof/>
                <w:sz w:val="28"/>
                <w:szCs w:val="28"/>
              </w:rPr>
              <w:drawing>
                <wp:inline distT="0" distB="0" distL="0" distR="0" wp14:anchorId="7FE60660" wp14:editId="7FE60661">
                  <wp:extent cx="737363" cy="576708"/>
                  <wp:effectExtent l="0" t="0" r="0" b="0"/>
                  <wp:docPr id="20137880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737363" cy="576708"/>
                          </a:xfrm>
                          <a:prstGeom prst="rect">
                            <a:avLst/>
                          </a:prstGeom>
                          <a:ln/>
                        </pic:spPr>
                      </pic:pic>
                    </a:graphicData>
                  </a:graphic>
                </wp:inline>
              </w:drawing>
            </w:r>
          </w:p>
        </w:tc>
        <w:tc>
          <w:tcPr>
            <w:tcW w:w="2346" w:type="dxa"/>
          </w:tcPr>
          <w:p w14:paraId="7FE605F6" w14:textId="77777777" w:rsidR="00622E7C" w:rsidRPr="002C46F3" w:rsidRDefault="00622E7C">
            <w:pPr>
              <w:jc w:val="center"/>
              <w:rPr>
                <w:b/>
                <w:sz w:val="16"/>
                <w:szCs w:val="16"/>
              </w:rPr>
            </w:pPr>
          </w:p>
          <w:p w14:paraId="7FE605F7" w14:textId="77777777" w:rsidR="00622E7C" w:rsidRPr="002C46F3" w:rsidRDefault="00622E7C">
            <w:pPr>
              <w:jc w:val="center"/>
              <w:rPr>
                <w:b/>
                <w:sz w:val="16"/>
                <w:szCs w:val="16"/>
              </w:rPr>
            </w:pPr>
          </w:p>
          <w:p w14:paraId="7FE605F8" w14:textId="77777777" w:rsidR="00622E7C" w:rsidRPr="002C46F3" w:rsidRDefault="005226F7">
            <w:pPr>
              <w:jc w:val="center"/>
              <w:rPr>
                <w:b/>
                <w:sz w:val="28"/>
                <w:szCs w:val="28"/>
              </w:rPr>
            </w:pPr>
            <w:r w:rsidRPr="002C46F3">
              <w:rPr>
                <w:noProof/>
              </w:rPr>
              <w:drawing>
                <wp:inline distT="0" distB="0" distL="0" distR="0" wp14:anchorId="7FE60662" wp14:editId="7FE60663">
                  <wp:extent cx="1405927" cy="232635"/>
                  <wp:effectExtent l="0" t="0" r="0" b="0"/>
                  <wp:docPr id="2013788086" name="image4.jpg" descr="D:\Users\ppaoli\AppData\Local\Microsoft\Windows\INetCache\Content.Word\Logo-Interco-2022-rvb.jpg"/>
                  <wp:cNvGraphicFramePr/>
                  <a:graphic xmlns:a="http://schemas.openxmlformats.org/drawingml/2006/main">
                    <a:graphicData uri="http://schemas.openxmlformats.org/drawingml/2006/picture">
                      <pic:pic xmlns:pic="http://schemas.openxmlformats.org/drawingml/2006/picture">
                        <pic:nvPicPr>
                          <pic:cNvPr id="0" name="image4.jpg" descr="D:\Users\ppaoli\AppData\Local\Microsoft\Windows\INetCache\Content.Word\Logo-Interco-2022-rvb.jpg"/>
                          <pic:cNvPicPr preferRelativeResize="0"/>
                        </pic:nvPicPr>
                        <pic:blipFill>
                          <a:blip r:embed="rId16"/>
                          <a:srcRect/>
                          <a:stretch>
                            <a:fillRect/>
                          </a:stretch>
                        </pic:blipFill>
                        <pic:spPr>
                          <a:xfrm>
                            <a:off x="0" y="0"/>
                            <a:ext cx="1405927" cy="232635"/>
                          </a:xfrm>
                          <a:prstGeom prst="rect">
                            <a:avLst/>
                          </a:prstGeom>
                          <a:ln/>
                        </pic:spPr>
                      </pic:pic>
                    </a:graphicData>
                  </a:graphic>
                </wp:inline>
              </w:drawing>
            </w:r>
          </w:p>
        </w:tc>
        <w:tc>
          <w:tcPr>
            <w:tcW w:w="2529" w:type="dxa"/>
          </w:tcPr>
          <w:p w14:paraId="7FE605F9" w14:textId="77777777" w:rsidR="00622E7C" w:rsidRPr="002C46F3" w:rsidRDefault="00622E7C">
            <w:pPr>
              <w:jc w:val="center"/>
              <w:rPr>
                <w:b/>
                <w:sz w:val="16"/>
                <w:szCs w:val="16"/>
              </w:rPr>
            </w:pPr>
          </w:p>
          <w:p w14:paraId="7FE605FA" w14:textId="77777777" w:rsidR="00622E7C" w:rsidRPr="002C46F3" w:rsidRDefault="005226F7">
            <w:pPr>
              <w:jc w:val="center"/>
              <w:rPr>
                <w:b/>
                <w:sz w:val="28"/>
                <w:szCs w:val="28"/>
              </w:rPr>
            </w:pPr>
            <w:r w:rsidRPr="002C46F3">
              <w:rPr>
                <w:b/>
                <w:noProof/>
                <w:sz w:val="28"/>
                <w:szCs w:val="28"/>
              </w:rPr>
              <w:drawing>
                <wp:inline distT="0" distB="0" distL="0" distR="0" wp14:anchorId="7FE60664" wp14:editId="7FE60665">
                  <wp:extent cx="1469136" cy="542544"/>
                  <wp:effectExtent l="0" t="0" r="0" b="0"/>
                  <wp:docPr id="201378808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1469136" cy="542544"/>
                          </a:xfrm>
                          <a:prstGeom prst="rect">
                            <a:avLst/>
                          </a:prstGeom>
                          <a:ln/>
                        </pic:spPr>
                      </pic:pic>
                    </a:graphicData>
                  </a:graphic>
                </wp:inline>
              </w:drawing>
            </w:r>
          </w:p>
        </w:tc>
        <w:tc>
          <w:tcPr>
            <w:tcW w:w="2159" w:type="dxa"/>
          </w:tcPr>
          <w:p w14:paraId="7FE605FB" w14:textId="77777777" w:rsidR="00622E7C" w:rsidRPr="002C46F3" w:rsidRDefault="005226F7">
            <w:pPr>
              <w:jc w:val="center"/>
              <w:rPr>
                <w:b/>
                <w:sz w:val="28"/>
                <w:szCs w:val="28"/>
              </w:rPr>
            </w:pPr>
            <w:r w:rsidRPr="002C46F3">
              <w:rPr>
                <w:b/>
                <w:noProof/>
                <w:sz w:val="28"/>
                <w:szCs w:val="28"/>
              </w:rPr>
              <w:drawing>
                <wp:inline distT="0" distB="0" distL="0" distR="0" wp14:anchorId="7FE60666" wp14:editId="7FE60667">
                  <wp:extent cx="771525" cy="771525"/>
                  <wp:effectExtent l="0" t="0" r="0" b="0"/>
                  <wp:docPr id="201378808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771525" cy="771525"/>
                          </a:xfrm>
                          <a:prstGeom prst="rect">
                            <a:avLst/>
                          </a:prstGeom>
                          <a:ln/>
                        </pic:spPr>
                      </pic:pic>
                    </a:graphicData>
                  </a:graphic>
                </wp:inline>
              </w:drawing>
            </w:r>
          </w:p>
        </w:tc>
      </w:tr>
    </w:tbl>
    <w:p w14:paraId="7FE605FD" w14:textId="77777777" w:rsidR="00622E7C" w:rsidRPr="002C46F3" w:rsidRDefault="00622E7C">
      <w:pPr>
        <w:spacing w:line="240" w:lineRule="auto"/>
        <w:rPr>
          <w:b/>
          <w:sz w:val="32"/>
          <w:szCs w:val="32"/>
        </w:rPr>
      </w:pPr>
    </w:p>
    <w:p w14:paraId="7FE60600" w14:textId="448AABC4" w:rsidR="00622E7C" w:rsidRPr="002C46F3" w:rsidRDefault="00BB4603" w:rsidP="002D1997">
      <w:pPr>
        <w:spacing w:line="240" w:lineRule="auto"/>
        <w:jc w:val="center"/>
        <w:rPr>
          <w:b/>
          <w:sz w:val="32"/>
          <w:szCs w:val="32"/>
        </w:rPr>
      </w:pPr>
      <w:sdt>
        <w:sdtPr>
          <w:tag w:val="goog_rdk_0"/>
          <w:id w:val="848992061"/>
          <w:showingPlcHdr/>
        </w:sdtPr>
        <w:sdtEndPr/>
        <w:sdtContent>
          <w:r w:rsidR="00216C47" w:rsidRPr="002C46F3">
            <w:t xml:space="preserve">     </w:t>
          </w:r>
        </w:sdtContent>
      </w:sdt>
      <w:r w:rsidR="00216C47" w:rsidRPr="002C46F3">
        <w:rPr>
          <w:b/>
          <w:sz w:val="32"/>
          <w:szCs w:val="32"/>
        </w:rPr>
        <w:t xml:space="preserve">CONTRIBUTION DU COLLECTIF INTER-ASSOCIATIF DES ÉLUS SÉCURITÉ-PRÉVENTION </w:t>
      </w:r>
      <w:r w:rsidR="002D5A84" w:rsidRPr="002C46F3">
        <w:rPr>
          <w:b/>
          <w:sz w:val="32"/>
          <w:szCs w:val="32"/>
        </w:rPr>
        <w:t>(CIAESP)</w:t>
      </w:r>
    </w:p>
    <w:p w14:paraId="449663D6" w14:textId="5F8FDD03" w:rsidR="007B51E2" w:rsidRPr="002C46F3" w:rsidRDefault="00216C47" w:rsidP="002D1997">
      <w:pPr>
        <w:spacing w:line="240" w:lineRule="auto"/>
        <w:jc w:val="center"/>
        <w:rPr>
          <w:b/>
          <w:sz w:val="32"/>
          <w:szCs w:val="32"/>
        </w:rPr>
      </w:pPr>
      <w:r w:rsidRPr="002C46F3">
        <w:rPr>
          <w:b/>
          <w:sz w:val="32"/>
          <w:szCs w:val="32"/>
        </w:rPr>
        <w:t>_</w:t>
      </w:r>
    </w:p>
    <w:p w14:paraId="3C1ADD13" w14:textId="77777777" w:rsidR="00216C47" w:rsidRPr="002C46F3" w:rsidRDefault="00216C47" w:rsidP="002D1997">
      <w:pPr>
        <w:spacing w:line="240" w:lineRule="auto"/>
        <w:jc w:val="center"/>
        <w:rPr>
          <w:b/>
          <w:sz w:val="32"/>
          <w:szCs w:val="32"/>
        </w:rPr>
      </w:pPr>
    </w:p>
    <w:p w14:paraId="2E97AD8A" w14:textId="102C7594" w:rsidR="00216C47" w:rsidRPr="002C46F3" w:rsidRDefault="00C034C6" w:rsidP="002D1997">
      <w:pPr>
        <w:spacing w:line="240" w:lineRule="auto"/>
        <w:jc w:val="center"/>
        <w:rPr>
          <w:b/>
          <w:sz w:val="32"/>
          <w:szCs w:val="32"/>
        </w:rPr>
      </w:pPr>
      <w:r>
        <w:rPr>
          <w:b/>
          <w:sz w:val="32"/>
          <w:szCs w:val="32"/>
        </w:rPr>
        <w:t>Pour un renouveau de la Stratégie Nationale de Prévention de la Délinquance</w:t>
      </w:r>
    </w:p>
    <w:p w14:paraId="00CE6713" w14:textId="77777777" w:rsidR="002D5A84" w:rsidRPr="002C46F3" w:rsidRDefault="002D5A84" w:rsidP="002D1997">
      <w:pPr>
        <w:spacing w:line="240" w:lineRule="auto"/>
        <w:jc w:val="center"/>
        <w:rPr>
          <w:b/>
          <w:sz w:val="32"/>
          <w:szCs w:val="32"/>
        </w:rPr>
      </w:pPr>
    </w:p>
    <w:p w14:paraId="1A052889" w14:textId="77777777" w:rsidR="002D5A84" w:rsidRPr="002C46F3" w:rsidRDefault="002D5A84" w:rsidP="002D1997">
      <w:pPr>
        <w:spacing w:line="240" w:lineRule="auto"/>
        <w:jc w:val="center"/>
        <w:rPr>
          <w:b/>
          <w:sz w:val="32"/>
          <w:szCs w:val="32"/>
        </w:rPr>
      </w:pPr>
    </w:p>
    <w:p w14:paraId="2C593A78" w14:textId="77777777" w:rsidR="002D5A84" w:rsidRPr="002C46F3" w:rsidRDefault="002D5A84" w:rsidP="002D5A84">
      <w:pPr>
        <w:spacing w:line="240" w:lineRule="auto"/>
        <w:jc w:val="both"/>
        <w:rPr>
          <w:rFonts w:eastAsia="Georgia"/>
          <w:sz w:val="28"/>
          <w:szCs w:val="28"/>
        </w:rPr>
      </w:pPr>
      <w:r w:rsidRPr="002C46F3">
        <w:rPr>
          <w:rFonts w:eastAsia="Georgia"/>
          <w:b/>
          <w:sz w:val="28"/>
          <w:szCs w:val="28"/>
          <w:u w:val="single"/>
        </w:rPr>
        <w:t>Contexte</w:t>
      </w:r>
    </w:p>
    <w:p w14:paraId="1CDBD4C7" w14:textId="77777777" w:rsidR="002D5A84" w:rsidRPr="002C46F3" w:rsidRDefault="002D5A84" w:rsidP="002D5A84">
      <w:pPr>
        <w:spacing w:line="240" w:lineRule="auto"/>
        <w:jc w:val="both"/>
        <w:rPr>
          <w:rFonts w:eastAsia="Georgia"/>
        </w:rPr>
      </w:pPr>
    </w:p>
    <w:p w14:paraId="7624D8AB" w14:textId="36FF4502" w:rsidR="002D5A84" w:rsidRPr="002C46F3" w:rsidRDefault="002D5A84" w:rsidP="002D5A84">
      <w:pPr>
        <w:spacing w:line="240" w:lineRule="auto"/>
        <w:jc w:val="both"/>
        <w:rPr>
          <w:rFonts w:eastAsia="Georgia"/>
        </w:rPr>
      </w:pPr>
      <w:r w:rsidRPr="002C46F3">
        <w:rPr>
          <w:rFonts w:eastAsia="Georgia"/>
        </w:rPr>
        <w:t xml:space="preserve">A travers cette contribution, les membres du CIAESP réaffirment le souhait d'un dialogue continu entre les collectivités territoriales et l’État pour une meilleure prise en compte des besoins des citoyens, en particulier des plus vulnérables, et pour une co-construction de la Stratégie Nationale de Prévention de la Délinquance </w:t>
      </w:r>
      <w:r w:rsidR="00523FFE" w:rsidRPr="002C46F3">
        <w:rPr>
          <w:rFonts w:eastAsia="Georgia"/>
        </w:rPr>
        <w:t>pilotée par le</w:t>
      </w:r>
      <w:r w:rsidRPr="002C46F3">
        <w:rPr>
          <w:rFonts w:eastAsia="Georgia"/>
        </w:rPr>
        <w:t xml:space="preserve"> ministre</w:t>
      </w:r>
      <w:r w:rsidR="00523FFE" w:rsidRPr="002C46F3">
        <w:rPr>
          <w:rFonts w:eastAsia="Georgia"/>
        </w:rPr>
        <w:t xml:space="preserve"> auprès du ministre de l’Intérieur</w:t>
      </w:r>
      <w:r w:rsidRPr="002C46F3">
        <w:rPr>
          <w:rFonts w:eastAsia="Georgia"/>
        </w:rPr>
        <w:t>, François-Noël Buffet</w:t>
      </w:r>
      <w:r w:rsidR="00523FFE" w:rsidRPr="002C46F3">
        <w:rPr>
          <w:rFonts w:eastAsia="Georgia"/>
        </w:rPr>
        <w:t xml:space="preserve">. </w:t>
      </w:r>
      <w:r w:rsidRPr="002C46F3">
        <w:rPr>
          <w:rFonts w:eastAsia="Georgia"/>
        </w:rPr>
        <w:t xml:space="preserve">  </w:t>
      </w:r>
    </w:p>
    <w:p w14:paraId="30D07759" w14:textId="77777777" w:rsidR="00523FFE" w:rsidRPr="002C46F3" w:rsidRDefault="00523FFE" w:rsidP="002D5A84">
      <w:pPr>
        <w:spacing w:line="240" w:lineRule="auto"/>
        <w:jc w:val="both"/>
        <w:rPr>
          <w:rFonts w:eastAsia="Georgia"/>
        </w:rPr>
      </w:pPr>
    </w:p>
    <w:p w14:paraId="7E991878" w14:textId="17CA51AD" w:rsidR="002D5A84" w:rsidRPr="002C46F3" w:rsidRDefault="002D5A84" w:rsidP="002D5A84">
      <w:pPr>
        <w:spacing w:line="240" w:lineRule="auto"/>
        <w:jc w:val="both"/>
        <w:rPr>
          <w:rFonts w:eastAsia="Georgia"/>
        </w:rPr>
      </w:pPr>
      <w:r w:rsidRPr="002C46F3">
        <w:rPr>
          <w:rFonts w:eastAsia="Georgia"/>
        </w:rPr>
        <w:t>Ils soulignent</w:t>
      </w:r>
      <w:r w:rsidR="00523FFE" w:rsidRPr="002C46F3">
        <w:rPr>
          <w:rFonts w:eastAsia="Georgia"/>
        </w:rPr>
        <w:t xml:space="preserve"> ainsi</w:t>
      </w:r>
      <w:r w:rsidRPr="002C46F3">
        <w:rPr>
          <w:rFonts w:eastAsia="Georgia"/>
        </w:rPr>
        <w:t xml:space="preserve"> leurs attentes sur les principaux axes de la </w:t>
      </w:r>
      <w:r w:rsidR="00523FFE" w:rsidRPr="002C46F3">
        <w:rPr>
          <w:rFonts w:eastAsia="Georgia"/>
        </w:rPr>
        <w:t xml:space="preserve">future stratégie nationale de prévention de </w:t>
      </w:r>
      <w:r w:rsidR="005B7227" w:rsidRPr="002C46F3">
        <w:rPr>
          <w:rFonts w:eastAsia="Georgia"/>
        </w:rPr>
        <w:t>la délinquance (SNPD)</w:t>
      </w:r>
      <w:r w:rsidRPr="002C46F3">
        <w:rPr>
          <w:rFonts w:eastAsia="Georgia"/>
        </w:rPr>
        <w:t xml:space="preserve"> et les opportunités </w:t>
      </w:r>
      <w:r w:rsidR="005B7227" w:rsidRPr="002C46F3">
        <w:rPr>
          <w:rFonts w:eastAsia="Georgia"/>
        </w:rPr>
        <w:t>ouvertes pour les</w:t>
      </w:r>
      <w:r w:rsidRPr="002C46F3">
        <w:rPr>
          <w:rFonts w:eastAsia="Georgia"/>
        </w:rPr>
        <w:t xml:space="preserve"> collectivités territoriales</w:t>
      </w:r>
      <w:r w:rsidR="005B7227" w:rsidRPr="002C46F3">
        <w:rPr>
          <w:rFonts w:eastAsia="Georgia"/>
        </w:rPr>
        <w:t xml:space="preserve">. </w:t>
      </w:r>
    </w:p>
    <w:p w14:paraId="524CB9A4" w14:textId="77777777" w:rsidR="002D5A84" w:rsidRPr="002C46F3" w:rsidRDefault="002D5A84" w:rsidP="002D5A84">
      <w:pPr>
        <w:spacing w:line="240" w:lineRule="auto"/>
        <w:jc w:val="both"/>
        <w:rPr>
          <w:rFonts w:eastAsia="Georgia"/>
        </w:rPr>
      </w:pPr>
    </w:p>
    <w:p w14:paraId="647AA0C4" w14:textId="0A8D4033" w:rsidR="002D5A84" w:rsidRPr="002C46F3" w:rsidRDefault="002D5A84" w:rsidP="002D5A84">
      <w:pPr>
        <w:spacing w:line="240" w:lineRule="auto"/>
        <w:jc w:val="both"/>
        <w:rPr>
          <w:rFonts w:eastAsia="Georgia"/>
          <w:b/>
          <w:bCs/>
          <w:sz w:val="28"/>
          <w:szCs w:val="28"/>
          <w:u w:val="single"/>
          <w:lang w:val="fr-FR"/>
        </w:rPr>
      </w:pPr>
      <w:r w:rsidRPr="002C46F3">
        <w:rPr>
          <w:rFonts w:eastAsia="Georgia"/>
          <w:b/>
          <w:bCs/>
          <w:sz w:val="28"/>
          <w:szCs w:val="28"/>
          <w:u w:val="single"/>
          <w:lang w:val="fr-FR"/>
        </w:rPr>
        <w:t xml:space="preserve">L’enjeu d’une double </w:t>
      </w:r>
      <w:r w:rsidR="005B7227" w:rsidRPr="002C46F3">
        <w:rPr>
          <w:rFonts w:eastAsia="Georgia"/>
          <w:b/>
          <w:bCs/>
          <w:sz w:val="28"/>
          <w:szCs w:val="28"/>
          <w:u w:val="single"/>
          <w:lang w:val="fr-FR"/>
        </w:rPr>
        <w:t>approche :</w:t>
      </w:r>
    </w:p>
    <w:p w14:paraId="3198B785" w14:textId="77777777" w:rsidR="005B7227" w:rsidRPr="002C46F3" w:rsidRDefault="005B7227" w:rsidP="002D5A84">
      <w:pPr>
        <w:spacing w:line="240" w:lineRule="auto"/>
        <w:jc w:val="both"/>
        <w:rPr>
          <w:rFonts w:eastAsia="Georgia"/>
          <w:b/>
          <w:bCs/>
          <w:u w:val="single"/>
          <w:lang w:val="fr-FR"/>
        </w:rPr>
      </w:pPr>
    </w:p>
    <w:p w14:paraId="4F767763" w14:textId="65C20793" w:rsidR="002D5A84" w:rsidRPr="002C46F3" w:rsidRDefault="002D5A84" w:rsidP="002D5A84">
      <w:pPr>
        <w:spacing w:line="240" w:lineRule="auto"/>
        <w:jc w:val="both"/>
        <w:rPr>
          <w:rFonts w:eastAsia="Georgia"/>
        </w:rPr>
      </w:pPr>
      <w:r w:rsidRPr="002C46F3">
        <w:rPr>
          <w:rFonts w:eastAsia="Georgia"/>
        </w:rPr>
        <w:t xml:space="preserve">Le CIAESP réaffirme son attachement à la prévention, porteuse d'amélioration des situations individuelles. L’efficacité de la prévention exige un partenariat fort passant par l'inscription de la prévention dans chaque politique institutionnelle. </w:t>
      </w:r>
      <w:r w:rsidR="008B21C9" w:rsidRPr="002C46F3">
        <w:rPr>
          <w:rFonts w:eastAsia="Georgia"/>
        </w:rPr>
        <w:t xml:space="preserve">Celle-ci repose sur une double approche : </w:t>
      </w:r>
    </w:p>
    <w:p w14:paraId="0ECEF84B" w14:textId="77777777" w:rsidR="002D5A84" w:rsidRPr="002C46F3" w:rsidRDefault="002D5A84" w:rsidP="002D5A84">
      <w:pPr>
        <w:spacing w:line="240" w:lineRule="auto"/>
        <w:jc w:val="both"/>
        <w:rPr>
          <w:rFonts w:eastAsia="Georgia"/>
        </w:rPr>
      </w:pPr>
    </w:p>
    <w:p w14:paraId="35181B3B" w14:textId="77777777" w:rsidR="002D5A84" w:rsidRPr="002C46F3" w:rsidRDefault="002D5A84" w:rsidP="002D5A84">
      <w:pPr>
        <w:numPr>
          <w:ilvl w:val="0"/>
          <w:numId w:val="10"/>
        </w:numPr>
        <w:spacing w:line="240" w:lineRule="auto"/>
        <w:jc w:val="both"/>
        <w:rPr>
          <w:rFonts w:eastAsia="Georgia"/>
          <w:lang w:val="fr-FR"/>
        </w:rPr>
      </w:pPr>
      <w:r w:rsidRPr="002C46F3">
        <w:rPr>
          <w:rFonts w:eastAsia="Georgia"/>
          <w:b/>
          <w:bCs/>
          <w:lang w:val="fr-FR"/>
        </w:rPr>
        <w:t>Une approche locale fondée sur les besoins des territoires</w:t>
      </w:r>
      <w:r w:rsidRPr="002C46F3">
        <w:rPr>
          <w:rFonts w:eastAsia="Georgia"/>
          <w:lang w:val="fr-FR"/>
        </w:rPr>
        <w:t xml:space="preserve"> : Les élus locaux, pierre angulaire des politiques de sécurité et de prévention de la délinquance, animent des dispositifs reposant sur la proximité en développant un travail de prévention et de médiation au plus près des besoins des habitants.</w:t>
      </w:r>
    </w:p>
    <w:p w14:paraId="78D972EF" w14:textId="77777777" w:rsidR="002D5A84" w:rsidRPr="002C46F3" w:rsidRDefault="002D5A84" w:rsidP="002D5A84">
      <w:pPr>
        <w:spacing w:line="240" w:lineRule="auto"/>
        <w:ind w:left="720"/>
        <w:jc w:val="both"/>
        <w:rPr>
          <w:rFonts w:eastAsia="Georgia"/>
          <w:lang w:val="fr-FR"/>
        </w:rPr>
      </w:pPr>
    </w:p>
    <w:p w14:paraId="491B261F" w14:textId="77777777" w:rsidR="002D5A84" w:rsidRPr="002C46F3" w:rsidRDefault="002D5A84" w:rsidP="002D5A84">
      <w:pPr>
        <w:numPr>
          <w:ilvl w:val="0"/>
          <w:numId w:val="10"/>
        </w:numPr>
        <w:spacing w:line="240" w:lineRule="auto"/>
        <w:jc w:val="both"/>
        <w:rPr>
          <w:rFonts w:eastAsia="Georgia"/>
        </w:rPr>
      </w:pPr>
      <w:r w:rsidRPr="002C46F3">
        <w:rPr>
          <w:rFonts w:eastAsia="Georgia"/>
          <w:b/>
          <w:bCs/>
        </w:rPr>
        <w:t>Une approche globale et transversale à travers l’équilibre prévention - sanction</w:t>
      </w:r>
      <w:r w:rsidRPr="002C46F3">
        <w:rPr>
          <w:rFonts w:eastAsia="Georgia"/>
        </w:rPr>
        <w:t xml:space="preserve"> articulée avec les politiques sociales, sanitaires, d’éducation et de jeunesse, d’aménagement et de valorisation des espaces publics, d’insertion, de participation citoyenne etc.</w:t>
      </w:r>
    </w:p>
    <w:p w14:paraId="3192514C" w14:textId="77777777" w:rsidR="002D5A84" w:rsidRDefault="002D5A84" w:rsidP="002D5A84">
      <w:pPr>
        <w:spacing w:line="240" w:lineRule="auto"/>
        <w:jc w:val="both"/>
        <w:rPr>
          <w:rFonts w:eastAsia="Georgia"/>
        </w:rPr>
      </w:pPr>
    </w:p>
    <w:p w14:paraId="7290ABCA" w14:textId="77777777" w:rsidR="00C034C6" w:rsidRPr="002C46F3" w:rsidRDefault="00C034C6" w:rsidP="002D5A84">
      <w:pPr>
        <w:spacing w:line="240" w:lineRule="auto"/>
        <w:jc w:val="both"/>
        <w:rPr>
          <w:rFonts w:eastAsia="Georgia"/>
        </w:rPr>
      </w:pPr>
    </w:p>
    <w:p w14:paraId="5545A8E0" w14:textId="77777777" w:rsidR="002D5A84" w:rsidRPr="002C46F3" w:rsidRDefault="002D5A84" w:rsidP="002D5A84">
      <w:pPr>
        <w:spacing w:line="240" w:lineRule="auto"/>
        <w:jc w:val="both"/>
        <w:rPr>
          <w:rFonts w:eastAsia="Georgia"/>
          <w:b/>
          <w:bCs/>
          <w:sz w:val="28"/>
          <w:szCs w:val="28"/>
          <w:u w:val="single"/>
          <w:lang w:val="fr-FR"/>
        </w:rPr>
      </w:pPr>
      <w:r w:rsidRPr="002C46F3">
        <w:rPr>
          <w:rFonts w:eastAsia="Georgia"/>
          <w:b/>
          <w:bCs/>
          <w:sz w:val="28"/>
          <w:szCs w:val="28"/>
          <w:u w:val="single"/>
          <w:lang w:val="fr-FR"/>
        </w:rPr>
        <w:lastRenderedPageBreak/>
        <w:t>Des mesures prioritaires face aux défis actuels</w:t>
      </w:r>
    </w:p>
    <w:p w14:paraId="70ADF69D" w14:textId="77777777" w:rsidR="008B21C9" w:rsidRPr="002C46F3" w:rsidRDefault="008B21C9" w:rsidP="002D5A84">
      <w:pPr>
        <w:spacing w:line="240" w:lineRule="auto"/>
        <w:jc w:val="both"/>
        <w:rPr>
          <w:rFonts w:eastAsia="Georgia"/>
        </w:rPr>
      </w:pPr>
    </w:p>
    <w:p w14:paraId="6C6C722A" w14:textId="48A5A99F" w:rsidR="002D5A84" w:rsidRPr="002C46F3" w:rsidRDefault="008B21C9" w:rsidP="002D5A84">
      <w:pPr>
        <w:spacing w:line="240" w:lineRule="auto"/>
        <w:jc w:val="both"/>
        <w:rPr>
          <w:rFonts w:eastAsia="Georgia"/>
        </w:rPr>
      </w:pPr>
      <w:r w:rsidRPr="002C46F3">
        <w:rPr>
          <w:rFonts w:eastAsia="Georgia"/>
        </w:rPr>
        <w:t xml:space="preserve">Dans le cadre de cette future SNPD, le </w:t>
      </w:r>
      <w:r w:rsidR="002D5A84" w:rsidRPr="002C46F3">
        <w:rPr>
          <w:rFonts w:eastAsia="Georgia"/>
        </w:rPr>
        <w:t>CIAESP souhaite mettre en avant certains défis du quotidien qui nécessitent une attention spécifique</w:t>
      </w:r>
      <w:r w:rsidRPr="002C46F3">
        <w:rPr>
          <w:rFonts w:eastAsia="Georgia"/>
        </w:rPr>
        <w:t xml:space="preserve">. </w:t>
      </w:r>
    </w:p>
    <w:p w14:paraId="17649877" w14:textId="77777777" w:rsidR="002D5A84" w:rsidRPr="002C46F3" w:rsidRDefault="002D5A84" w:rsidP="002D5A84">
      <w:pPr>
        <w:spacing w:line="240" w:lineRule="auto"/>
        <w:jc w:val="both"/>
        <w:rPr>
          <w:rFonts w:eastAsia="Georgia"/>
        </w:rPr>
      </w:pPr>
    </w:p>
    <w:p w14:paraId="0939D398" w14:textId="56A55F02" w:rsidR="002D5A84" w:rsidRPr="002C46F3" w:rsidRDefault="002D5A84" w:rsidP="002D5A84">
      <w:pPr>
        <w:numPr>
          <w:ilvl w:val="0"/>
          <w:numId w:val="13"/>
        </w:numPr>
        <w:spacing w:line="240" w:lineRule="auto"/>
        <w:jc w:val="both"/>
        <w:rPr>
          <w:rFonts w:eastAsia="Georgia"/>
          <w:u w:val="single"/>
        </w:rPr>
      </w:pPr>
      <w:r w:rsidRPr="002C46F3">
        <w:rPr>
          <w:rFonts w:eastAsia="Georgia"/>
          <w:b/>
          <w:bCs/>
          <w:u w:val="single"/>
        </w:rPr>
        <w:t>La santé mentale</w:t>
      </w:r>
    </w:p>
    <w:p w14:paraId="6137A07A" w14:textId="77777777" w:rsidR="008B21C9" w:rsidRPr="002C46F3" w:rsidRDefault="008B21C9" w:rsidP="002D5A84">
      <w:pPr>
        <w:spacing w:line="240" w:lineRule="auto"/>
        <w:jc w:val="both"/>
        <w:rPr>
          <w:rFonts w:eastAsia="Georgia"/>
        </w:rPr>
      </w:pPr>
    </w:p>
    <w:p w14:paraId="0A7710D7" w14:textId="5A46D260" w:rsidR="002D5A84" w:rsidRPr="002C46F3" w:rsidRDefault="008B21C9" w:rsidP="002D5A84">
      <w:pPr>
        <w:spacing w:line="240" w:lineRule="auto"/>
        <w:jc w:val="both"/>
        <w:rPr>
          <w:rFonts w:eastAsia="Georgia"/>
        </w:rPr>
      </w:pPr>
      <w:r w:rsidRPr="002C46F3">
        <w:rPr>
          <w:rFonts w:eastAsia="Georgia"/>
        </w:rPr>
        <w:t>« </w:t>
      </w:r>
      <w:r w:rsidR="002D5A84" w:rsidRPr="002C46F3">
        <w:rPr>
          <w:rFonts w:eastAsia="Georgia"/>
        </w:rPr>
        <w:t>Grande cause nationale 2025</w:t>
      </w:r>
      <w:r w:rsidRPr="002C46F3">
        <w:rPr>
          <w:rFonts w:eastAsia="Georgia"/>
        </w:rPr>
        <w:t> »</w:t>
      </w:r>
      <w:r w:rsidR="002D5A84" w:rsidRPr="002C46F3">
        <w:rPr>
          <w:rFonts w:eastAsia="Georgia"/>
        </w:rPr>
        <w:t xml:space="preserve">, le CIAESP considère que la santé mentale doit être mieux intégrée dans les actions de prévention de la délinquance afin de mieux tenir compte du respect des droits humains des personnes souffrant de troubles mentaux dans toutes leurs dimensions, en particulier des plus jeunes publics. Dans certains cas, des problèmes de santé mentale non traités peuvent conduire à une prise de risque en termes de sécurité individuelle et collective. </w:t>
      </w:r>
    </w:p>
    <w:p w14:paraId="1D3A844D" w14:textId="77777777" w:rsidR="00001E64" w:rsidRPr="002C46F3" w:rsidRDefault="00001E64" w:rsidP="002D5A84">
      <w:pPr>
        <w:spacing w:line="240" w:lineRule="auto"/>
        <w:jc w:val="both"/>
        <w:rPr>
          <w:rFonts w:eastAsia="Calibri"/>
          <w:color w:val="95288F"/>
          <w:sz w:val="32"/>
          <w:szCs w:val="32"/>
        </w:rPr>
      </w:pPr>
    </w:p>
    <w:p w14:paraId="14CDB870" w14:textId="77777777" w:rsidR="002D5A84" w:rsidRPr="002C46F3" w:rsidRDefault="002D5A84" w:rsidP="002D5A84">
      <w:pPr>
        <w:spacing w:line="240" w:lineRule="auto"/>
        <w:jc w:val="both"/>
        <w:rPr>
          <w:rFonts w:eastAsia="Georgia"/>
        </w:rPr>
      </w:pPr>
      <w:r w:rsidRPr="002C46F3">
        <w:rPr>
          <w:rFonts w:eastAsia="Georgia"/>
        </w:rPr>
        <w:t xml:space="preserve">Le CIAESP recommande ici de s’appuyer sur une sensibilisation renforcée des élus et autres décideurs locaux à l’importance de la santé mentale et son lien avec la sécurité urbaine. </w:t>
      </w:r>
    </w:p>
    <w:p w14:paraId="3308C4C8" w14:textId="77777777" w:rsidR="00001E64" w:rsidRPr="002C46F3" w:rsidRDefault="002D5A84" w:rsidP="002D5A84">
      <w:pPr>
        <w:spacing w:line="240" w:lineRule="auto"/>
        <w:jc w:val="both"/>
        <w:rPr>
          <w:rFonts w:eastAsia="Georgia"/>
          <w:lang w:val="fr-FR"/>
        </w:rPr>
      </w:pPr>
      <w:r w:rsidRPr="002C46F3">
        <w:rPr>
          <w:rFonts w:eastAsia="Georgia"/>
          <w:lang w:val="fr-FR"/>
        </w:rPr>
        <w:t xml:space="preserve">Il indique l’importance de la formation notamment des « premiers secours en santé mentale », l'amélioration de l'interconnaissance entre professionnels et la coordination des services existants pour une intervention efficace. </w:t>
      </w:r>
    </w:p>
    <w:p w14:paraId="18090EFF" w14:textId="77777777" w:rsidR="00001E64" w:rsidRPr="002C46F3" w:rsidRDefault="00001E64" w:rsidP="002D5A84">
      <w:pPr>
        <w:spacing w:line="240" w:lineRule="auto"/>
        <w:jc w:val="both"/>
        <w:rPr>
          <w:rFonts w:eastAsia="Georgia"/>
          <w:lang w:val="fr-FR"/>
        </w:rPr>
      </w:pPr>
    </w:p>
    <w:p w14:paraId="50C3D261" w14:textId="3D444725" w:rsidR="00F927D0" w:rsidRPr="002C46F3" w:rsidRDefault="00001E64" w:rsidP="002D5A84">
      <w:pPr>
        <w:spacing w:line="240" w:lineRule="auto"/>
        <w:jc w:val="both"/>
        <w:rPr>
          <w:rFonts w:eastAsia="Georgia"/>
          <w:lang w:val="fr-FR"/>
        </w:rPr>
      </w:pPr>
      <w:r w:rsidRPr="002C46F3">
        <w:rPr>
          <w:rFonts w:eastAsia="Georgia"/>
          <w:lang w:val="fr-FR"/>
        </w:rPr>
        <w:t>Ce faisant, l</w:t>
      </w:r>
      <w:r w:rsidR="002D5A84" w:rsidRPr="002C46F3">
        <w:rPr>
          <w:rFonts w:eastAsia="Georgia"/>
          <w:lang w:val="fr-FR"/>
        </w:rPr>
        <w:t xml:space="preserve">e CIASEP appelle à renforcer l’articulation entre les conseils locaux et intercommunaux de sécurité et de prévention de la délinquance et les conseils locaux de santé mentale </w:t>
      </w:r>
      <w:r w:rsidR="00F927D0" w:rsidRPr="002C46F3">
        <w:rPr>
          <w:rFonts w:eastAsia="Georgia"/>
          <w:lang w:val="fr-FR"/>
        </w:rPr>
        <w:t xml:space="preserve">ainsi qu’au déploiement des </w:t>
      </w:r>
      <w:r w:rsidR="002D5A84" w:rsidRPr="002C46F3">
        <w:rPr>
          <w:rFonts w:eastAsia="Georgia"/>
          <w:lang w:val="fr-FR"/>
        </w:rPr>
        <w:t>dispositifs « d’aller-vers </w:t>
      </w:r>
      <w:r w:rsidR="00F927D0" w:rsidRPr="002C46F3">
        <w:rPr>
          <w:rFonts w:eastAsia="Georgia"/>
          <w:lang w:val="fr-FR"/>
        </w:rPr>
        <w:t>»,</w:t>
      </w:r>
      <w:r w:rsidR="002D5A84" w:rsidRPr="002C46F3">
        <w:rPr>
          <w:rFonts w:eastAsia="Georgia"/>
          <w:lang w:val="fr-FR"/>
        </w:rPr>
        <w:t xml:space="preserve"> indispensables à l’accès aux soins des personnes les plus vulnérables et les plus éloignées. </w:t>
      </w:r>
      <w:r w:rsidR="00D50556">
        <w:rPr>
          <w:rFonts w:eastAsia="Georgia"/>
          <w:lang w:val="fr-FR"/>
        </w:rPr>
        <w:t>La partici</w:t>
      </w:r>
      <w:r w:rsidR="00C609F1">
        <w:rPr>
          <w:rFonts w:eastAsia="Georgia"/>
          <w:lang w:val="fr-FR"/>
        </w:rPr>
        <w:t>pation</w:t>
      </w:r>
      <w:r w:rsidR="00F3143B">
        <w:rPr>
          <w:rFonts w:eastAsia="Georgia"/>
          <w:lang w:val="fr-FR"/>
        </w:rPr>
        <w:t xml:space="preserve"> accrue</w:t>
      </w:r>
      <w:r w:rsidR="00C609F1">
        <w:rPr>
          <w:rFonts w:eastAsia="Georgia"/>
          <w:lang w:val="fr-FR"/>
        </w:rPr>
        <w:t xml:space="preserve"> des agences régionales de santé est, à ce titre, prépondérante pour les membres du collectif. </w:t>
      </w:r>
    </w:p>
    <w:p w14:paraId="315E88D5" w14:textId="77777777" w:rsidR="00F927D0" w:rsidRPr="002C46F3" w:rsidRDefault="00F927D0" w:rsidP="002D5A84">
      <w:pPr>
        <w:spacing w:line="240" w:lineRule="auto"/>
        <w:jc w:val="both"/>
        <w:rPr>
          <w:rFonts w:eastAsia="Georgia"/>
          <w:lang w:val="fr-FR"/>
        </w:rPr>
      </w:pPr>
    </w:p>
    <w:p w14:paraId="33295A3C" w14:textId="15A6735C" w:rsidR="002D5A84" w:rsidRPr="002C46F3" w:rsidRDefault="002D5A84" w:rsidP="002D5A84">
      <w:pPr>
        <w:spacing w:line="240" w:lineRule="auto"/>
        <w:jc w:val="both"/>
        <w:rPr>
          <w:rFonts w:eastAsia="Calibri"/>
          <w:lang w:val="fr-FR"/>
        </w:rPr>
      </w:pPr>
      <w:r w:rsidRPr="002C46F3">
        <w:rPr>
          <w:rFonts w:eastAsia="Georgia"/>
          <w:lang w:val="fr-FR"/>
        </w:rPr>
        <w:t>Il souligne, enfin, son attente forte vis-à-vis de l’Etat en termes de moyens et d’actions, notamment pour former suffisamment de médecins,</w:t>
      </w:r>
      <w:r w:rsidR="00F927D0" w:rsidRPr="002C46F3">
        <w:rPr>
          <w:rFonts w:eastAsia="Georgia"/>
          <w:lang w:val="fr-FR"/>
        </w:rPr>
        <w:t xml:space="preserve"> </w:t>
      </w:r>
      <w:r w:rsidRPr="002C46F3">
        <w:rPr>
          <w:rFonts w:eastAsia="Georgia"/>
          <w:lang w:val="fr-FR"/>
        </w:rPr>
        <w:t xml:space="preserve">et pour accompagner les élus et professionnels </w:t>
      </w:r>
      <w:r w:rsidR="003620A6">
        <w:rPr>
          <w:rFonts w:eastAsia="Georgia"/>
          <w:lang w:val="fr-FR"/>
        </w:rPr>
        <w:t>en</w:t>
      </w:r>
      <w:r w:rsidRPr="002C46F3">
        <w:rPr>
          <w:rFonts w:eastAsia="Georgia"/>
          <w:lang w:val="fr-FR"/>
        </w:rPr>
        <w:t xml:space="preserve"> première ligne</w:t>
      </w:r>
      <w:r w:rsidR="00F927D0" w:rsidRPr="002C46F3">
        <w:rPr>
          <w:rFonts w:eastAsia="Georgia"/>
          <w:lang w:val="fr-FR"/>
        </w:rPr>
        <w:t xml:space="preserve"> </w:t>
      </w:r>
      <w:r w:rsidRPr="002C46F3">
        <w:rPr>
          <w:rFonts w:eastAsia="Georgia"/>
          <w:lang w:val="fr-FR"/>
        </w:rPr>
        <w:t>qui, dans l’exercice de leur fonction, sont régulièrement exposés au stress</w:t>
      </w:r>
      <w:r w:rsidRPr="002C46F3">
        <w:rPr>
          <w:rFonts w:eastAsia="Georgia"/>
          <w:vertAlign w:val="superscript"/>
          <w:lang w:val="fr-FR"/>
        </w:rPr>
        <w:footnoteReference w:id="1"/>
      </w:r>
      <w:r w:rsidRPr="002C46F3">
        <w:rPr>
          <w:rFonts w:eastAsia="Georgia"/>
          <w:lang w:val="fr-FR"/>
        </w:rPr>
        <w:t>.</w:t>
      </w:r>
    </w:p>
    <w:p w14:paraId="54777674" w14:textId="77777777" w:rsidR="002D5A84" w:rsidRPr="002C46F3" w:rsidRDefault="002D5A84" w:rsidP="002D5A84">
      <w:pPr>
        <w:spacing w:line="240" w:lineRule="auto"/>
        <w:jc w:val="both"/>
        <w:rPr>
          <w:rFonts w:eastAsia="Calibri"/>
        </w:rPr>
      </w:pPr>
    </w:p>
    <w:p w14:paraId="060824FF" w14:textId="4F9D1604" w:rsidR="002D5A84" w:rsidRPr="002C46F3" w:rsidRDefault="002D5A84" w:rsidP="002D5A84">
      <w:pPr>
        <w:numPr>
          <w:ilvl w:val="0"/>
          <w:numId w:val="13"/>
        </w:numPr>
        <w:spacing w:line="240" w:lineRule="auto"/>
        <w:jc w:val="both"/>
        <w:rPr>
          <w:rFonts w:eastAsia="Georgia"/>
          <w:u w:val="single"/>
        </w:rPr>
      </w:pPr>
      <w:r w:rsidRPr="002C46F3">
        <w:rPr>
          <w:rFonts w:eastAsia="Georgia"/>
          <w:b/>
          <w:u w:val="single"/>
        </w:rPr>
        <w:t xml:space="preserve">Prévention de </w:t>
      </w:r>
      <w:r w:rsidR="003620A6">
        <w:rPr>
          <w:rFonts w:eastAsia="Georgia"/>
          <w:b/>
          <w:u w:val="single"/>
        </w:rPr>
        <w:t>l’enrôlement</w:t>
      </w:r>
      <w:r w:rsidRPr="002C46F3">
        <w:rPr>
          <w:rFonts w:eastAsia="Georgia"/>
          <w:b/>
          <w:u w:val="single"/>
        </w:rPr>
        <w:t xml:space="preserve"> des jeunes dans les trafics</w:t>
      </w:r>
    </w:p>
    <w:p w14:paraId="0366067E" w14:textId="77777777" w:rsidR="00F927D0" w:rsidRPr="002C46F3" w:rsidRDefault="00F927D0" w:rsidP="002D5A84">
      <w:pPr>
        <w:spacing w:line="240" w:lineRule="auto"/>
        <w:jc w:val="both"/>
        <w:rPr>
          <w:rFonts w:eastAsia="Georgia"/>
          <w:lang w:val="fr-FR"/>
        </w:rPr>
      </w:pPr>
    </w:p>
    <w:p w14:paraId="34CCB0EC" w14:textId="54A31C54" w:rsidR="009D6FA2" w:rsidRPr="002C46F3" w:rsidRDefault="002D5A84" w:rsidP="002D5A84">
      <w:pPr>
        <w:spacing w:line="240" w:lineRule="auto"/>
        <w:jc w:val="both"/>
        <w:rPr>
          <w:rFonts w:eastAsia="Georgia"/>
          <w:lang w:val="fr-FR"/>
        </w:rPr>
      </w:pPr>
      <w:r w:rsidRPr="002C46F3">
        <w:rPr>
          <w:rFonts w:eastAsia="Georgia"/>
          <w:lang w:val="fr-FR"/>
        </w:rPr>
        <w:t>Les élus du CIAESP saluent les apports de</w:t>
      </w:r>
      <w:r w:rsidR="00DE4483" w:rsidRPr="002C46F3">
        <w:rPr>
          <w:rFonts w:eastAsia="Georgia"/>
          <w:lang w:val="fr-FR"/>
        </w:rPr>
        <w:t xml:space="preserve"> la</w:t>
      </w:r>
      <w:r w:rsidRPr="002C46F3">
        <w:rPr>
          <w:rFonts w:eastAsia="Georgia"/>
          <w:lang w:val="fr-FR"/>
        </w:rPr>
        <w:t xml:space="preserve"> loi visant à lutter contre le narcotrafic, fruit d’un travail </w:t>
      </w:r>
      <w:proofErr w:type="spellStart"/>
      <w:r w:rsidRPr="002C46F3">
        <w:rPr>
          <w:rFonts w:eastAsia="Georgia"/>
          <w:lang w:val="fr-FR"/>
        </w:rPr>
        <w:t>transpartisan</w:t>
      </w:r>
      <w:proofErr w:type="spellEnd"/>
      <w:r w:rsidRPr="002C46F3">
        <w:rPr>
          <w:rFonts w:eastAsia="Georgia"/>
          <w:lang w:val="fr-FR"/>
        </w:rPr>
        <w:t>. Ils appellent</w:t>
      </w:r>
      <w:r w:rsidR="00DE4483" w:rsidRPr="002C46F3">
        <w:rPr>
          <w:rFonts w:eastAsia="Georgia"/>
          <w:lang w:val="fr-FR"/>
        </w:rPr>
        <w:t xml:space="preserve">, </w:t>
      </w:r>
      <w:r w:rsidRPr="002C46F3">
        <w:rPr>
          <w:rFonts w:eastAsia="Georgia"/>
          <w:lang w:val="fr-FR"/>
        </w:rPr>
        <w:t>cependant</w:t>
      </w:r>
      <w:r w:rsidR="00DE4483" w:rsidRPr="002C46F3">
        <w:rPr>
          <w:rFonts w:eastAsia="Georgia"/>
          <w:lang w:val="fr-FR"/>
        </w:rPr>
        <w:t xml:space="preserve">, </w:t>
      </w:r>
      <w:r w:rsidRPr="002C46F3">
        <w:rPr>
          <w:rFonts w:eastAsia="Georgia"/>
          <w:lang w:val="fr-FR"/>
        </w:rPr>
        <w:t xml:space="preserve">à élargir le spectre du débat pour intégrer pleinement les enjeux de prévention. </w:t>
      </w:r>
      <w:r w:rsidR="00DE4483" w:rsidRPr="002C46F3">
        <w:rPr>
          <w:rFonts w:eastAsia="Georgia"/>
          <w:lang w:val="fr-FR"/>
        </w:rPr>
        <w:t xml:space="preserve">Une </w:t>
      </w:r>
      <w:r w:rsidRPr="002C46F3">
        <w:rPr>
          <w:rFonts w:eastAsia="Georgia"/>
          <w:lang w:val="fr-FR"/>
        </w:rPr>
        <w:t xml:space="preserve">approche intégrée, en appui aux réponses pénales et judiciaires, repose notamment sur une meilleure articulation entre les politiques de santé et de prévention de la délinquance. </w:t>
      </w:r>
    </w:p>
    <w:p w14:paraId="28DDBDFB" w14:textId="19D64B5A" w:rsidR="009D6FA2" w:rsidRPr="002C46F3" w:rsidRDefault="009D6FA2" w:rsidP="002D5A84">
      <w:pPr>
        <w:spacing w:line="240" w:lineRule="auto"/>
        <w:jc w:val="both"/>
        <w:rPr>
          <w:rFonts w:eastAsia="Georgia"/>
          <w:lang w:val="fr-FR"/>
        </w:rPr>
      </w:pPr>
      <w:r w:rsidRPr="002C46F3">
        <w:rPr>
          <w:rFonts w:eastAsia="Georgia"/>
          <w:lang w:val="fr-FR"/>
        </w:rPr>
        <w:t>Dès lors, les élus</w:t>
      </w:r>
      <w:r w:rsidR="002D5A84" w:rsidRPr="002C46F3">
        <w:rPr>
          <w:rFonts w:eastAsia="Georgia"/>
          <w:lang w:val="fr-FR"/>
        </w:rPr>
        <w:t xml:space="preserve"> soulignent l’importance de mieux comprendre les logiques </w:t>
      </w:r>
      <w:r w:rsidR="003620A6">
        <w:rPr>
          <w:rFonts w:eastAsia="Georgia"/>
          <w:lang w:val="fr-FR"/>
        </w:rPr>
        <w:t>d’enrôlement</w:t>
      </w:r>
      <w:r w:rsidR="002D5A84" w:rsidRPr="002C46F3">
        <w:rPr>
          <w:rFonts w:eastAsia="Georgia"/>
          <w:lang w:val="fr-FR"/>
        </w:rPr>
        <w:t xml:space="preserve"> afin d’identifier les leviers de prévention.</w:t>
      </w:r>
    </w:p>
    <w:p w14:paraId="29130FE1" w14:textId="12CB64BA" w:rsidR="002D5A84" w:rsidRPr="002C46F3" w:rsidRDefault="002D5A84" w:rsidP="002D5A84">
      <w:pPr>
        <w:spacing w:line="240" w:lineRule="auto"/>
        <w:jc w:val="both"/>
        <w:rPr>
          <w:rFonts w:eastAsia="Georgia"/>
          <w:lang w:val="fr-FR"/>
        </w:rPr>
      </w:pPr>
      <w:r w:rsidRPr="002C46F3">
        <w:rPr>
          <w:rFonts w:eastAsia="Georgia"/>
          <w:lang w:val="fr-FR"/>
        </w:rPr>
        <w:t xml:space="preserve">Les politiques de prévention doivent pouvoir remettre en question la seule vision </w:t>
      </w:r>
      <w:r w:rsidR="009D6FA2" w:rsidRPr="002C46F3">
        <w:rPr>
          <w:rFonts w:eastAsia="Georgia"/>
          <w:lang w:val="fr-FR"/>
        </w:rPr>
        <w:t>de l’appât</w:t>
      </w:r>
      <w:r w:rsidRPr="002C46F3">
        <w:rPr>
          <w:rFonts w:eastAsia="Georgia"/>
          <w:lang w:val="fr-FR"/>
        </w:rPr>
        <w:t xml:space="preserve"> du gain immédiat que certains jeunes peuvent projeter et la culture de violence véhiculée par le narcotrafic. </w:t>
      </w:r>
    </w:p>
    <w:p w14:paraId="5B54E34F" w14:textId="2A55FAA5" w:rsidR="002D5A84" w:rsidRPr="002C46F3" w:rsidRDefault="002D5A84" w:rsidP="002D5A84">
      <w:pPr>
        <w:spacing w:line="240" w:lineRule="auto"/>
        <w:jc w:val="both"/>
        <w:rPr>
          <w:rFonts w:eastAsia="Georgia"/>
        </w:rPr>
      </w:pPr>
      <w:r w:rsidRPr="002C46F3">
        <w:rPr>
          <w:rFonts w:eastAsia="Georgia"/>
        </w:rPr>
        <w:t xml:space="preserve">Le suivi individualisé pour l’élaboration de parcours de sortie de la délinquance, le soutien et l’accompagnement des professionnels et des habitants </w:t>
      </w:r>
      <w:r w:rsidR="009D6FA2" w:rsidRPr="002C46F3">
        <w:rPr>
          <w:rFonts w:eastAsia="Georgia"/>
        </w:rPr>
        <w:t>ainsi que</w:t>
      </w:r>
      <w:r w:rsidRPr="002C46F3">
        <w:rPr>
          <w:rFonts w:eastAsia="Georgia"/>
        </w:rPr>
        <w:t xml:space="preserve"> la mobilisation des politiques publiques autour de parcours sont autant de pistes à explorer pour prévenir l’entrée et encourager la sortie des trafics. Sur ce sujet</w:t>
      </w:r>
      <w:r w:rsidR="009D6FA2" w:rsidRPr="002C46F3">
        <w:rPr>
          <w:rFonts w:eastAsia="Georgia"/>
        </w:rPr>
        <w:t>,</w:t>
      </w:r>
      <w:r w:rsidRPr="002C46F3">
        <w:rPr>
          <w:rFonts w:eastAsia="Georgia"/>
        </w:rPr>
        <w:t xml:space="preserve"> les élus du CIAESP suivent avec intérêt le projet </w:t>
      </w:r>
      <w:r w:rsidR="00AE2272">
        <w:rPr>
          <w:rFonts w:eastAsia="Georgia"/>
        </w:rPr>
        <w:t>« </w:t>
      </w:r>
      <w:r w:rsidRPr="002C46F3">
        <w:rPr>
          <w:rFonts w:eastAsia="Georgia"/>
        </w:rPr>
        <w:t>LIMITS</w:t>
      </w:r>
      <w:r w:rsidR="00AE2272">
        <w:rPr>
          <w:rFonts w:eastAsia="Georgia"/>
        </w:rPr>
        <w:t> »</w:t>
      </w:r>
      <w:r w:rsidRPr="002C46F3">
        <w:rPr>
          <w:rFonts w:eastAsia="Georgia"/>
        </w:rPr>
        <w:t xml:space="preserve"> de la MILDECA visant à impliquer les maires et différents acteurs territoriaux dans la lutte contre les trafics de drogues commis par les mineurs auteurs.</w:t>
      </w:r>
    </w:p>
    <w:p w14:paraId="62A1385C" w14:textId="77777777" w:rsidR="002D5A84" w:rsidRDefault="002D5A84" w:rsidP="002D5A84">
      <w:pPr>
        <w:spacing w:line="240" w:lineRule="auto"/>
        <w:jc w:val="both"/>
        <w:rPr>
          <w:rFonts w:eastAsia="Georgia"/>
        </w:rPr>
      </w:pPr>
    </w:p>
    <w:p w14:paraId="48717E6F" w14:textId="77777777" w:rsidR="00AE2272" w:rsidRPr="002C46F3" w:rsidRDefault="00AE2272" w:rsidP="002D5A84">
      <w:pPr>
        <w:spacing w:line="240" w:lineRule="auto"/>
        <w:jc w:val="both"/>
        <w:rPr>
          <w:rFonts w:eastAsia="Georgia"/>
        </w:rPr>
      </w:pPr>
    </w:p>
    <w:p w14:paraId="5DFBFDBB" w14:textId="77777777" w:rsidR="002D5A84" w:rsidRPr="002C46F3" w:rsidRDefault="002D5A84" w:rsidP="002D5A84">
      <w:pPr>
        <w:numPr>
          <w:ilvl w:val="0"/>
          <w:numId w:val="13"/>
        </w:numPr>
        <w:spacing w:line="240" w:lineRule="auto"/>
        <w:jc w:val="both"/>
        <w:rPr>
          <w:rFonts w:eastAsia="Georgia"/>
          <w:b/>
          <w:bCs/>
          <w:u w:val="single"/>
        </w:rPr>
      </w:pPr>
      <w:r w:rsidRPr="002C46F3">
        <w:rPr>
          <w:rFonts w:eastAsia="Georgia"/>
          <w:b/>
          <w:bCs/>
          <w:u w:val="single"/>
        </w:rPr>
        <w:lastRenderedPageBreak/>
        <w:t>L’accompagnement des situations d’errance et les marginalisations</w:t>
      </w:r>
    </w:p>
    <w:p w14:paraId="61432318" w14:textId="77777777" w:rsidR="0098194D" w:rsidRPr="002C46F3" w:rsidRDefault="0098194D" w:rsidP="002D5A84">
      <w:pPr>
        <w:pBdr>
          <w:top w:val="nil"/>
          <w:left w:val="nil"/>
          <w:bottom w:val="nil"/>
          <w:right w:val="nil"/>
          <w:between w:val="nil"/>
        </w:pBdr>
        <w:spacing w:line="240" w:lineRule="auto"/>
        <w:jc w:val="both"/>
        <w:rPr>
          <w:rFonts w:eastAsia="Segoe UI"/>
          <w:lang w:val="fr-FR"/>
        </w:rPr>
      </w:pPr>
    </w:p>
    <w:p w14:paraId="702CFB3C" w14:textId="77777777" w:rsidR="0098194D" w:rsidRPr="002C46F3" w:rsidRDefault="002D5A84" w:rsidP="002D5A84">
      <w:pPr>
        <w:pBdr>
          <w:top w:val="nil"/>
          <w:left w:val="nil"/>
          <w:bottom w:val="nil"/>
          <w:right w:val="nil"/>
          <w:between w:val="nil"/>
        </w:pBdr>
        <w:spacing w:line="240" w:lineRule="auto"/>
        <w:jc w:val="both"/>
        <w:rPr>
          <w:rFonts w:eastAsia="Segoe UI"/>
          <w:lang w:val="fr-FR"/>
        </w:rPr>
      </w:pPr>
      <w:r w:rsidRPr="002C46F3">
        <w:rPr>
          <w:rFonts w:eastAsia="Segoe UI"/>
          <w:lang w:val="fr-FR"/>
        </w:rPr>
        <w:t xml:space="preserve">L'errance et les marginalisations posent la double question de la tranquillité publique et de l'attention aux personnes les plus vulnérables. </w:t>
      </w:r>
    </w:p>
    <w:p w14:paraId="2741E6BF" w14:textId="384FB10F" w:rsidR="002D5A84" w:rsidRPr="002C46F3" w:rsidRDefault="002D5A84" w:rsidP="002D5A84">
      <w:pPr>
        <w:pBdr>
          <w:top w:val="nil"/>
          <w:left w:val="nil"/>
          <w:bottom w:val="nil"/>
          <w:right w:val="nil"/>
          <w:between w:val="nil"/>
        </w:pBdr>
        <w:spacing w:line="240" w:lineRule="auto"/>
        <w:jc w:val="both"/>
        <w:rPr>
          <w:rFonts w:eastAsia="Georgia"/>
          <w:lang w:val="fr-FR"/>
        </w:rPr>
      </w:pPr>
      <w:r w:rsidRPr="002C46F3">
        <w:rPr>
          <w:rFonts w:eastAsia="Segoe UI"/>
          <w:lang w:val="fr-FR"/>
        </w:rPr>
        <w:t xml:space="preserve">Les sanctions sont vaines si elles ne sont pas assorties de solutions d'accompagnement. Les efforts en matière de logement et d'insertion </w:t>
      </w:r>
      <w:r w:rsidR="0098194D" w:rsidRPr="002C46F3">
        <w:rPr>
          <w:rFonts w:eastAsia="Segoe UI"/>
          <w:lang w:val="fr-FR"/>
        </w:rPr>
        <w:t>doivent donc être</w:t>
      </w:r>
      <w:r w:rsidRPr="002C46F3">
        <w:rPr>
          <w:rFonts w:eastAsia="Segoe UI"/>
          <w:lang w:val="fr-FR"/>
        </w:rPr>
        <w:t xml:space="preserve"> prioritaires. C’est la raison pour laquelle, les élus locaux insistent sur la nécessité de soutenir les initiatives, entre professionnels, visant à l’acculturation conjointe des acteurs sur ces enjeux d’errance et de tranquillité publique, de même que le renforcement de l’orientation et du suivi des personnes à la rue, dans une stratégie de zéro </w:t>
      </w:r>
      <w:r w:rsidR="0098194D" w:rsidRPr="002C46F3">
        <w:rPr>
          <w:rFonts w:eastAsia="Segoe UI"/>
          <w:lang w:val="fr-FR"/>
        </w:rPr>
        <w:t>« non-recours »</w:t>
      </w:r>
      <w:r w:rsidRPr="002C46F3">
        <w:rPr>
          <w:rFonts w:eastAsia="Segoe UI"/>
          <w:lang w:val="fr-FR"/>
        </w:rPr>
        <w:t xml:space="preserve"> ainsi que le développement des solutions d’hébergement d’urgence ou plus pérennes</w:t>
      </w:r>
      <w:r w:rsidR="0098194D" w:rsidRPr="002C46F3">
        <w:rPr>
          <w:rFonts w:eastAsia="Segoe UI"/>
          <w:lang w:val="fr-FR"/>
        </w:rPr>
        <w:t>.</w:t>
      </w:r>
    </w:p>
    <w:p w14:paraId="263DF1E0" w14:textId="77777777" w:rsidR="002D5A84" w:rsidRPr="002C46F3" w:rsidRDefault="002D5A84" w:rsidP="002D5A84">
      <w:pPr>
        <w:spacing w:line="240" w:lineRule="auto"/>
        <w:jc w:val="both"/>
        <w:rPr>
          <w:rFonts w:eastAsia="Georgia"/>
        </w:rPr>
      </w:pPr>
      <w:r w:rsidRPr="002C46F3">
        <w:rPr>
          <w:rFonts w:eastAsia="Georgia"/>
        </w:rPr>
        <w:t xml:space="preserve"> </w:t>
      </w:r>
    </w:p>
    <w:p w14:paraId="69C02892" w14:textId="2C6C0E37" w:rsidR="002D5A84" w:rsidRPr="002C46F3" w:rsidRDefault="002D5A84" w:rsidP="0098194D">
      <w:pPr>
        <w:numPr>
          <w:ilvl w:val="0"/>
          <w:numId w:val="13"/>
        </w:numPr>
        <w:spacing w:line="240" w:lineRule="auto"/>
        <w:jc w:val="both"/>
        <w:rPr>
          <w:rFonts w:eastAsia="Georgia"/>
          <w:b/>
          <w:bCs/>
          <w:u w:val="single"/>
        </w:rPr>
      </w:pPr>
      <w:r w:rsidRPr="002C46F3">
        <w:rPr>
          <w:rFonts w:eastAsia="Georgia"/>
          <w:b/>
          <w:bCs/>
          <w:u w:val="single"/>
        </w:rPr>
        <w:t xml:space="preserve">Une gouvernance simplifiée : </w:t>
      </w:r>
      <w:r w:rsidR="003620A6">
        <w:rPr>
          <w:rFonts w:eastAsia="Georgia"/>
          <w:b/>
          <w:bCs/>
          <w:u w:val="single"/>
        </w:rPr>
        <w:t>Réaffirmer</w:t>
      </w:r>
      <w:r w:rsidR="00C323B9">
        <w:rPr>
          <w:rFonts w:eastAsia="Georgia"/>
          <w:b/>
          <w:bCs/>
          <w:u w:val="single"/>
        </w:rPr>
        <w:t xml:space="preserve"> le rôle du maire</w:t>
      </w:r>
      <w:r w:rsidRPr="002C46F3">
        <w:rPr>
          <w:rFonts w:eastAsia="Georgia"/>
          <w:b/>
          <w:bCs/>
          <w:u w:val="single"/>
        </w:rPr>
        <w:t xml:space="preserve"> au </w:t>
      </w:r>
      <w:r w:rsidR="0098194D" w:rsidRPr="002C46F3">
        <w:rPr>
          <w:rFonts w:eastAsia="Georgia"/>
          <w:b/>
          <w:bCs/>
          <w:u w:val="single"/>
        </w:rPr>
        <w:t>cœur</w:t>
      </w:r>
      <w:r w:rsidRPr="002C46F3">
        <w:rPr>
          <w:rFonts w:eastAsia="Georgia"/>
          <w:b/>
          <w:bCs/>
          <w:u w:val="single"/>
        </w:rPr>
        <w:t xml:space="preserve"> des politiques</w:t>
      </w:r>
      <w:r w:rsidR="0098194D" w:rsidRPr="002C46F3">
        <w:rPr>
          <w:rFonts w:eastAsia="Georgia"/>
          <w:b/>
          <w:bCs/>
          <w:u w:val="single"/>
        </w:rPr>
        <w:t xml:space="preserve"> </w:t>
      </w:r>
      <w:r w:rsidRPr="002C46F3">
        <w:rPr>
          <w:rFonts w:eastAsia="Georgia"/>
          <w:b/>
          <w:bCs/>
          <w:u w:val="single"/>
        </w:rPr>
        <w:t>locales de sécurité</w:t>
      </w:r>
    </w:p>
    <w:p w14:paraId="3C3C62B2" w14:textId="77777777" w:rsidR="0098194D" w:rsidRPr="002C46F3" w:rsidRDefault="0098194D" w:rsidP="0098194D">
      <w:pPr>
        <w:spacing w:line="240" w:lineRule="auto"/>
        <w:ind w:left="360"/>
        <w:jc w:val="both"/>
        <w:rPr>
          <w:rFonts w:eastAsia="Georgia"/>
          <w:b/>
          <w:bCs/>
          <w:u w:val="single"/>
        </w:rPr>
      </w:pPr>
    </w:p>
    <w:p w14:paraId="6110C6E2" w14:textId="58D5FA41" w:rsidR="002D5A84" w:rsidRPr="002C46F3" w:rsidRDefault="002D5A84" w:rsidP="002D5A84">
      <w:pPr>
        <w:spacing w:line="240" w:lineRule="auto"/>
        <w:jc w:val="both"/>
        <w:rPr>
          <w:rFonts w:eastAsia="Georgia"/>
        </w:rPr>
      </w:pPr>
      <w:r w:rsidRPr="002C46F3">
        <w:rPr>
          <w:rFonts w:eastAsia="Georgia"/>
        </w:rPr>
        <w:t xml:space="preserve">Une clarification de la gouvernance et une réaffirmation claire des rôles de chacun restent attendues. Le CIAESP recommande : </w:t>
      </w:r>
    </w:p>
    <w:p w14:paraId="5BAAC15D" w14:textId="0D8F6A76" w:rsidR="002D5A84" w:rsidRPr="002C46F3" w:rsidRDefault="0098194D" w:rsidP="002D5A84">
      <w:pPr>
        <w:numPr>
          <w:ilvl w:val="0"/>
          <w:numId w:val="12"/>
        </w:numPr>
        <w:spacing w:line="240" w:lineRule="auto"/>
        <w:jc w:val="both"/>
      </w:pPr>
      <w:r w:rsidRPr="002C46F3">
        <w:rPr>
          <w:rFonts w:eastAsia="Georgia"/>
          <w:lang w:val="fr-FR"/>
        </w:rPr>
        <w:t>Une</w:t>
      </w:r>
      <w:r w:rsidR="002D5A84" w:rsidRPr="002C46F3">
        <w:rPr>
          <w:rFonts w:eastAsia="Georgia"/>
          <w:lang w:val="fr-FR"/>
        </w:rPr>
        <w:t xml:space="preserve"> évaluation de la première SNPD pour une nouvelle stratégie proche et adaptée aux territoires, en laissant la latitude et les moyens aux expérimentations locales avec un Etat coordonnateur/planificateur mobilisé autour d’actions structurantes </w:t>
      </w:r>
    </w:p>
    <w:p w14:paraId="40C8F0E4" w14:textId="7FD4F3A3" w:rsidR="002D5A84" w:rsidRPr="002C46F3" w:rsidRDefault="00AE2272" w:rsidP="002D5A84">
      <w:pPr>
        <w:numPr>
          <w:ilvl w:val="0"/>
          <w:numId w:val="12"/>
        </w:numPr>
        <w:spacing w:line="240" w:lineRule="auto"/>
        <w:jc w:val="both"/>
        <w:rPr>
          <w:rFonts w:eastAsia="Georgia"/>
          <w:lang w:val="fr-FR"/>
        </w:rPr>
      </w:pPr>
      <w:r w:rsidRPr="002C46F3">
        <w:rPr>
          <w:rFonts w:eastAsia="Georgia"/>
          <w:lang w:val="fr-FR"/>
        </w:rPr>
        <w:t>De</w:t>
      </w:r>
      <w:r w:rsidR="002D5A84" w:rsidRPr="002C46F3">
        <w:rPr>
          <w:rFonts w:eastAsia="Georgia"/>
          <w:lang w:val="fr-FR"/>
        </w:rPr>
        <w:t xml:space="preserve"> </w:t>
      </w:r>
      <w:r w:rsidR="0098194D" w:rsidRPr="002C46F3">
        <w:rPr>
          <w:rFonts w:eastAsia="Georgia"/>
          <w:lang w:val="fr-FR"/>
        </w:rPr>
        <w:t xml:space="preserve">s’appuyer </w:t>
      </w:r>
      <w:r w:rsidR="002C46F3" w:rsidRPr="002C46F3">
        <w:rPr>
          <w:rFonts w:eastAsia="Georgia"/>
          <w:lang w:val="fr-FR"/>
        </w:rPr>
        <w:t xml:space="preserve">pleinement </w:t>
      </w:r>
      <w:r w:rsidR="0098194D" w:rsidRPr="002C46F3">
        <w:rPr>
          <w:rFonts w:eastAsia="Georgia"/>
          <w:lang w:val="fr-FR"/>
        </w:rPr>
        <w:t>sur</w:t>
      </w:r>
      <w:r w:rsidR="002D5A84" w:rsidRPr="002C46F3">
        <w:rPr>
          <w:rFonts w:eastAsia="Georgia"/>
          <w:lang w:val="fr-FR"/>
        </w:rPr>
        <w:t xml:space="preserve"> le Conseil Local et intercommunal de Sécurité et de Prévention de la Délinquance, instance principale de pilotage pour mettre en cohérence les dispositifs existants (Zone de sécurité prioritaire, Police de sécurité du quotidien et Quartier de reconquête républicaine, Groupes de Partenariat Opérationnel, Groupes locaux de traitement de la délinquance, cellules de veille, groupes de suivi nominatif…). </w:t>
      </w:r>
    </w:p>
    <w:p w14:paraId="77CE2813" w14:textId="7E5F24BF" w:rsidR="002D5A84" w:rsidRPr="002C46F3" w:rsidRDefault="002C46F3" w:rsidP="002D5A84">
      <w:pPr>
        <w:numPr>
          <w:ilvl w:val="0"/>
          <w:numId w:val="9"/>
        </w:numPr>
        <w:spacing w:line="240" w:lineRule="auto"/>
        <w:jc w:val="both"/>
      </w:pPr>
      <w:r w:rsidRPr="002C46F3">
        <w:rPr>
          <w:rFonts w:eastAsia="Georgia"/>
          <w:lang w:val="fr-FR"/>
        </w:rPr>
        <w:t>D’étendre</w:t>
      </w:r>
      <w:r w:rsidR="002D5A84" w:rsidRPr="002C46F3">
        <w:rPr>
          <w:rFonts w:eastAsia="Georgia"/>
          <w:lang w:val="fr-FR"/>
        </w:rPr>
        <w:t xml:space="preserve"> le champ d’action de la prévention au niveau des bassins de vie (avec une approche partenariale entre les différents acteurs autour des CLSPD/CISPD/CMSPD) afin d’accompagner la montée en compétence de l'échelon intercommunal sur ces sujets </w:t>
      </w:r>
    </w:p>
    <w:p w14:paraId="67FDA8A7" w14:textId="77777777" w:rsidR="002D5A84" w:rsidRPr="002C46F3" w:rsidRDefault="002D5A84" w:rsidP="002C46F3">
      <w:pPr>
        <w:spacing w:line="240" w:lineRule="auto"/>
        <w:jc w:val="both"/>
        <w:rPr>
          <w:rFonts w:eastAsia="Georgia"/>
        </w:rPr>
      </w:pPr>
    </w:p>
    <w:p w14:paraId="093BF89F" w14:textId="2BD5B9C1" w:rsidR="002D5A84" w:rsidRPr="002C46F3" w:rsidRDefault="002D5A84" w:rsidP="002D5A84">
      <w:pPr>
        <w:spacing w:line="240" w:lineRule="auto"/>
        <w:jc w:val="both"/>
        <w:rPr>
          <w:rFonts w:eastAsia="Georgia"/>
          <w:lang w:val="fr-FR"/>
        </w:rPr>
      </w:pPr>
      <w:r w:rsidRPr="002C46F3">
        <w:rPr>
          <w:rFonts w:eastAsia="Georgia"/>
          <w:lang w:val="fr-FR"/>
        </w:rPr>
        <w:t xml:space="preserve">Dans ce contexte, </w:t>
      </w:r>
      <w:r w:rsidR="003620A6">
        <w:rPr>
          <w:rFonts w:eastAsia="Georgia"/>
          <w:lang w:val="fr-FR"/>
        </w:rPr>
        <w:t>l</w:t>
      </w:r>
      <w:r w:rsidRPr="002C46F3">
        <w:rPr>
          <w:rFonts w:eastAsia="Georgia"/>
          <w:lang w:val="fr-FR"/>
        </w:rPr>
        <w:t xml:space="preserve">e CIAESP reste également attentif à la démultiplication des dispositifs de prévention qui </w:t>
      </w:r>
      <w:r w:rsidR="002C46F3" w:rsidRPr="002C46F3">
        <w:rPr>
          <w:rFonts w:eastAsia="Georgia"/>
          <w:lang w:val="fr-FR"/>
        </w:rPr>
        <w:t>risquent d’apporter</w:t>
      </w:r>
      <w:r w:rsidRPr="002C46F3">
        <w:rPr>
          <w:rFonts w:eastAsia="Georgia"/>
          <w:lang w:val="fr-FR"/>
        </w:rPr>
        <w:t xml:space="preserve"> plus de confusion ou de dispersion des moyens face aux besoins de simplification. </w:t>
      </w:r>
    </w:p>
    <w:p w14:paraId="5CBD9918" w14:textId="77777777" w:rsidR="002D5A84" w:rsidRPr="002C46F3" w:rsidRDefault="002D5A84" w:rsidP="002D5A84">
      <w:pPr>
        <w:spacing w:line="240" w:lineRule="auto"/>
        <w:jc w:val="both"/>
        <w:rPr>
          <w:rFonts w:eastAsia="Georgia"/>
        </w:rPr>
      </w:pPr>
    </w:p>
    <w:p w14:paraId="05F7721F" w14:textId="77777777" w:rsidR="002C46F3" w:rsidRPr="002C46F3" w:rsidRDefault="002D5A84" w:rsidP="002D5A84">
      <w:pPr>
        <w:spacing w:line="240" w:lineRule="auto"/>
        <w:jc w:val="both"/>
        <w:rPr>
          <w:rFonts w:eastAsia="Georgia"/>
        </w:rPr>
      </w:pPr>
      <w:r w:rsidRPr="002C46F3">
        <w:rPr>
          <w:rFonts w:eastAsia="Georgia"/>
        </w:rPr>
        <w:t xml:space="preserve">Le CIAESP souligne, par ailleurs, les besoins en termes d’ingénierie locale.  </w:t>
      </w:r>
    </w:p>
    <w:p w14:paraId="70A7036F" w14:textId="6F0832B6" w:rsidR="002D5A84" w:rsidRDefault="002D5A84" w:rsidP="002D5A84">
      <w:pPr>
        <w:spacing w:line="240" w:lineRule="auto"/>
        <w:jc w:val="both"/>
        <w:rPr>
          <w:rFonts w:eastAsia="Georgia"/>
        </w:rPr>
      </w:pPr>
      <w:r w:rsidRPr="002C46F3">
        <w:rPr>
          <w:rFonts w:eastAsia="Georgia"/>
        </w:rPr>
        <w:t xml:space="preserve">La sécurité occupe une place singulière dans nos politiques et discours publics. </w:t>
      </w:r>
      <w:r w:rsidR="002C46F3">
        <w:rPr>
          <w:rFonts w:eastAsia="Georgia"/>
        </w:rPr>
        <w:t>Elle</w:t>
      </w:r>
      <w:r w:rsidRPr="002C46F3">
        <w:rPr>
          <w:rFonts w:eastAsia="Georgia"/>
        </w:rPr>
        <w:t xml:space="preserve"> </w:t>
      </w:r>
      <w:r w:rsidR="002C46F3">
        <w:rPr>
          <w:rFonts w:eastAsia="Georgia"/>
        </w:rPr>
        <w:t>reste</w:t>
      </w:r>
      <w:r w:rsidRPr="002C46F3">
        <w:rPr>
          <w:rFonts w:eastAsia="Georgia"/>
        </w:rPr>
        <w:t xml:space="preserve"> un sujet sensible soumis à une forte polarisation. Le recours à des données probantes </w:t>
      </w:r>
      <w:r w:rsidR="002C46F3">
        <w:rPr>
          <w:rFonts w:eastAsia="Georgia"/>
        </w:rPr>
        <w:t>peut permettre</w:t>
      </w:r>
      <w:r w:rsidRPr="002C46F3">
        <w:rPr>
          <w:rFonts w:eastAsia="Georgia"/>
        </w:rPr>
        <w:t xml:space="preserve"> d’analyser et d'objectiver les besoins réels et les résultats des actions. La réalisation de diagnostics, précis et continus, est un outil essentiel à la mise en œuvre et au suivi de politiques publiques de sécurité efficientes. Les enjeux de sécurité nécessitent impérativement de s’extraire du registre </w:t>
      </w:r>
      <w:r w:rsidR="003620A6">
        <w:rPr>
          <w:rFonts w:eastAsia="Georgia"/>
        </w:rPr>
        <w:t xml:space="preserve">du ressenti </w:t>
      </w:r>
      <w:r w:rsidRPr="002C46F3">
        <w:rPr>
          <w:rFonts w:eastAsia="Georgia"/>
        </w:rPr>
        <w:t>au bénéfice d’une approche méthodologique rigoureuse.</w:t>
      </w:r>
    </w:p>
    <w:p w14:paraId="678BC97B" w14:textId="77777777" w:rsidR="00AE2272" w:rsidRPr="002C46F3" w:rsidRDefault="00AE2272" w:rsidP="002D5A84">
      <w:pPr>
        <w:spacing w:line="240" w:lineRule="auto"/>
        <w:jc w:val="both"/>
        <w:rPr>
          <w:rFonts w:eastAsia="Georgia"/>
        </w:rPr>
      </w:pPr>
    </w:p>
    <w:p w14:paraId="523BB1BC" w14:textId="35D9E618" w:rsidR="002D5A84" w:rsidRPr="002C46F3" w:rsidRDefault="002D5A84" w:rsidP="002D5A84">
      <w:pPr>
        <w:spacing w:line="240" w:lineRule="auto"/>
        <w:jc w:val="both"/>
        <w:rPr>
          <w:rFonts w:eastAsia="Georgia"/>
          <w:lang w:val="fr-FR"/>
        </w:rPr>
      </w:pPr>
      <w:r w:rsidRPr="002C46F3">
        <w:rPr>
          <w:rFonts w:eastAsia="Georgia"/>
          <w:lang w:val="fr-FR"/>
        </w:rPr>
        <w:t xml:space="preserve">Enfin, le coordonnateur s’est imposé comme la cheville ouvrière des politiques locales de sécurité. Le </w:t>
      </w:r>
      <w:r w:rsidR="004627C8" w:rsidRPr="002C46F3">
        <w:rPr>
          <w:rFonts w:eastAsia="Georgia"/>
          <w:lang w:val="fr-FR"/>
        </w:rPr>
        <w:t>CIAESP souligne</w:t>
      </w:r>
      <w:r w:rsidRPr="002C46F3">
        <w:rPr>
          <w:rFonts w:eastAsia="Georgia"/>
          <w:lang w:val="fr-FR"/>
        </w:rPr>
        <w:t xml:space="preserve"> son rôle </w:t>
      </w:r>
      <w:r w:rsidR="004627C8" w:rsidRPr="002C46F3">
        <w:rPr>
          <w:rFonts w:eastAsia="Georgia"/>
          <w:lang w:val="fr-FR"/>
        </w:rPr>
        <w:t xml:space="preserve">crucial </w:t>
      </w:r>
      <w:r w:rsidR="004627C8">
        <w:rPr>
          <w:rFonts w:eastAsia="Georgia"/>
          <w:lang w:val="fr-FR"/>
        </w:rPr>
        <w:t>et</w:t>
      </w:r>
      <w:r w:rsidRPr="002C46F3">
        <w:rPr>
          <w:rFonts w:eastAsia="Georgia"/>
          <w:lang w:val="fr-FR"/>
        </w:rPr>
        <w:t xml:space="preserve"> recommande un positionnement stratégique lui permettant de garantir sa légitimité d’agir en transversalité et de mobiliser des partenaires variés. Le CIAESP demande à l’Etat de consolider ce métier spécifique par une reconnaissance et </w:t>
      </w:r>
      <w:r w:rsidR="004627C8" w:rsidRPr="002C46F3">
        <w:rPr>
          <w:rFonts w:eastAsia="Georgia"/>
          <w:lang w:val="fr-FR"/>
        </w:rPr>
        <w:t>une formation accrue</w:t>
      </w:r>
      <w:r w:rsidRPr="002C46F3">
        <w:rPr>
          <w:rFonts w:eastAsia="Georgia"/>
          <w:lang w:val="fr-FR"/>
        </w:rPr>
        <w:t>, via le CNFPT notamment.</w:t>
      </w:r>
    </w:p>
    <w:p w14:paraId="571E4F3D" w14:textId="77777777" w:rsidR="002D5A84" w:rsidRPr="002C46F3" w:rsidRDefault="002D5A84" w:rsidP="002D5A84">
      <w:pPr>
        <w:spacing w:line="240" w:lineRule="auto"/>
        <w:jc w:val="both"/>
        <w:rPr>
          <w:rFonts w:eastAsia="Georgia"/>
        </w:rPr>
      </w:pPr>
    </w:p>
    <w:p w14:paraId="40D2BE1D" w14:textId="77777777" w:rsidR="002D5A84" w:rsidRDefault="002D5A84" w:rsidP="004627C8">
      <w:pPr>
        <w:numPr>
          <w:ilvl w:val="0"/>
          <w:numId w:val="13"/>
        </w:numPr>
        <w:spacing w:line="240" w:lineRule="auto"/>
        <w:jc w:val="both"/>
        <w:rPr>
          <w:rFonts w:eastAsia="Georgia"/>
          <w:b/>
          <w:bCs/>
          <w:u w:val="single"/>
        </w:rPr>
      </w:pPr>
      <w:r w:rsidRPr="004627C8">
        <w:rPr>
          <w:rFonts w:eastAsia="Georgia"/>
          <w:b/>
          <w:bCs/>
          <w:u w:val="single"/>
        </w:rPr>
        <w:t xml:space="preserve">Des moyens renforcés </w:t>
      </w:r>
    </w:p>
    <w:p w14:paraId="1270728D" w14:textId="77777777" w:rsidR="00AE2272" w:rsidRPr="004627C8" w:rsidRDefault="00AE2272" w:rsidP="00AE2272">
      <w:pPr>
        <w:spacing w:line="240" w:lineRule="auto"/>
        <w:ind w:left="360"/>
        <w:jc w:val="both"/>
        <w:rPr>
          <w:rFonts w:eastAsia="Georgia"/>
          <w:b/>
          <w:bCs/>
          <w:u w:val="single"/>
        </w:rPr>
      </w:pPr>
    </w:p>
    <w:p w14:paraId="0A68532A" w14:textId="77777777" w:rsidR="00AE2272" w:rsidRDefault="002D5A84" w:rsidP="004627C8">
      <w:pPr>
        <w:spacing w:line="240" w:lineRule="auto"/>
        <w:jc w:val="both"/>
        <w:rPr>
          <w:rFonts w:eastAsia="Georgia"/>
        </w:rPr>
      </w:pPr>
      <w:r w:rsidRPr="002C46F3">
        <w:rPr>
          <w:rFonts w:eastAsia="Georgia"/>
        </w:rPr>
        <w:t>Pour garantir les capacités d’intervention des collectivités locales, urbaines, péri urbaines ou rurales, la question des moyens alloués aux politiques territoriales doit être posée.</w:t>
      </w:r>
    </w:p>
    <w:p w14:paraId="1F2D3CCF" w14:textId="77777777" w:rsidR="00BB4603" w:rsidRPr="00BB4603" w:rsidRDefault="00BB4603" w:rsidP="00BB4603">
      <w:pPr>
        <w:spacing w:line="240" w:lineRule="auto"/>
        <w:jc w:val="both"/>
        <w:rPr>
          <w:rFonts w:eastAsia="Georgia"/>
        </w:rPr>
      </w:pPr>
      <w:r w:rsidRPr="00BB4603">
        <w:rPr>
          <w:rFonts w:eastAsia="Georgia"/>
        </w:rPr>
        <w:lastRenderedPageBreak/>
        <w:t xml:space="preserve">Le CIAESP prend ainsi note de l’instruction signée le 10 juin 2025 par Bruno RETAILLEAU ministre d’Etat, ministre de l’Intérieur ainsi que par François-Noël BUFFET, ministre auprès du ministre d’Etat. Celle-ci fixe l’enveloppe du Fonds Interministériel de Prévention de la Délinquance (FIPD) à hauteur de 74,4 millions d’euros (52,7 millions d’euros confiés en gestion et pilotage au SG-CIPDR et 21,7 millions confiés à la DEPSA) contre 87,4 millions d’euros en 2024 (année JOP) et 83 millions d’euros en 2023, soit un recul de plus de 15% par rapport à l’année dernière (-4% par rapport à 2023). </w:t>
      </w:r>
    </w:p>
    <w:p w14:paraId="637751FF" w14:textId="77777777" w:rsidR="00AE2272" w:rsidRPr="00BB4603" w:rsidRDefault="00AE2272" w:rsidP="004627C8">
      <w:pPr>
        <w:spacing w:line="240" w:lineRule="auto"/>
        <w:jc w:val="both"/>
        <w:rPr>
          <w:rFonts w:eastAsia="Georgia"/>
          <w:lang w:val="fr-FR"/>
        </w:rPr>
      </w:pPr>
    </w:p>
    <w:p w14:paraId="6FD4280A" w14:textId="12B18A39" w:rsidR="002D5A84" w:rsidRPr="002C46F3" w:rsidRDefault="002D5A84" w:rsidP="004627C8">
      <w:pPr>
        <w:spacing w:line="240" w:lineRule="auto"/>
        <w:jc w:val="both"/>
        <w:rPr>
          <w:rFonts w:eastAsia="Georgia"/>
        </w:rPr>
      </w:pPr>
      <w:r w:rsidRPr="002C46F3">
        <w:rPr>
          <w:rFonts w:eastAsia="Georgia"/>
        </w:rPr>
        <w:t xml:space="preserve">Le CIAESP </w:t>
      </w:r>
      <w:r w:rsidR="00AE2272">
        <w:rPr>
          <w:rFonts w:eastAsia="Georgia"/>
        </w:rPr>
        <w:t>appelle donc à</w:t>
      </w:r>
      <w:r w:rsidRPr="002C46F3">
        <w:rPr>
          <w:rFonts w:eastAsia="Georgia"/>
        </w:rPr>
        <w:t xml:space="preserve"> une</w:t>
      </w:r>
      <w:r w:rsidR="00AE2272">
        <w:rPr>
          <w:rFonts w:eastAsia="Georgia"/>
        </w:rPr>
        <w:t xml:space="preserve"> revalorisation, de même qu’à une</w:t>
      </w:r>
      <w:r w:rsidRPr="002C46F3">
        <w:rPr>
          <w:rFonts w:eastAsia="Georgia"/>
        </w:rPr>
        <w:t xml:space="preserve"> révision des modalités du Fonds Interministériel de Prévention de la Délinquance (FIPD) en composant les budgets dans un souci d'équilibre entre sécurisation et prévention</w:t>
      </w:r>
    </w:p>
    <w:p w14:paraId="3910E8BE" w14:textId="155CA0D9" w:rsidR="002D5A84" w:rsidRPr="002C46F3" w:rsidRDefault="002D5A84" w:rsidP="002D5A84">
      <w:pPr>
        <w:numPr>
          <w:ilvl w:val="0"/>
          <w:numId w:val="11"/>
        </w:numPr>
        <w:spacing w:line="240" w:lineRule="auto"/>
        <w:jc w:val="both"/>
        <w:rPr>
          <w:rFonts w:eastAsia="Georgia"/>
          <w:lang w:val="fr-FR"/>
        </w:rPr>
      </w:pPr>
      <w:r w:rsidRPr="002C46F3">
        <w:rPr>
          <w:rFonts w:eastAsia="Georgia"/>
          <w:lang w:val="fr-FR"/>
        </w:rPr>
        <w:t xml:space="preserve">Le calendrier actuel des co-financements est peu flexible et ne favorise pas des actions structurantes/en continuité, la </w:t>
      </w:r>
      <w:proofErr w:type="spellStart"/>
      <w:r w:rsidRPr="002C46F3">
        <w:rPr>
          <w:rFonts w:eastAsia="Georgia"/>
          <w:lang w:val="fr-FR"/>
        </w:rPr>
        <w:t>pluriannualité</w:t>
      </w:r>
      <w:proofErr w:type="spellEnd"/>
      <w:r w:rsidRPr="002C46F3">
        <w:rPr>
          <w:rFonts w:eastAsia="Georgia"/>
          <w:lang w:val="fr-FR"/>
        </w:rPr>
        <w:t xml:space="preserve"> est une piste à explorer, notamment en s’appuyant sur la dynamique des Convention pluriannuelles d’objectifs (CPO). Les appels à projet sont chronophages et les crédits limités, </w:t>
      </w:r>
      <w:r w:rsidR="00C967DA" w:rsidRPr="002C46F3">
        <w:rPr>
          <w:rFonts w:eastAsia="Georgia"/>
          <w:lang w:val="fr-FR"/>
        </w:rPr>
        <w:t>la territorialisation</w:t>
      </w:r>
      <w:r w:rsidRPr="002C46F3">
        <w:rPr>
          <w:rFonts w:eastAsia="Georgia"/>
          <w:lang w:val="fr-FR"/>
        </w:rPr>
        <w:t xml:space="preserve">/contractualisation en la matière doit primer en fonction des priorités locales. </w:t>
      </w:r>
    </w:p>
    <w:p w14:paraId="58BD8415" w14:textId="06F6A36C" w:rsidR="002D5A84" w:rsidRDefault="00943A4C" w:rsidP="002D5A84">
      <w:pPr>
        <w:numPr>
          <w:ilvl w:val="0"/>
          <w:numId w:val="11"/>
        </w:numPr>
        <w:spacing w:line="240" w:lineRule="auto"/>
        <w:jc w:val="both"/>
        <w:rPr>
          <w:rFonts w:eastAsia="Georgia"/>
        </w:rPr>
      </w:pPr>
      <w:r>
        <w:rPr>
          <w:rFonts w:eastAsia="Georgia"/>
        </w:rPr>
        <w:t>Cette révision des modalités du FIPD doit, en outre, permettre d’avoir</w:t>
      </w:r>
      <w:r w:rsidR="002D5A84" w:rsidRPr="002C46F3">
        <w:rPr>
          <w:rFonts w:eastAsia="Georgia"/>
        </w:rPr>
        <w:t xml:space="preserve"> une vision de </w:t>
      </w:r>
      <w:r>
        <w:rPr>
          <w:rFonts w:eastAsia="Georgia"/>
        </w:rPr>
        <w:t>plus globale de l’enveloppe</w:t>
      </w:r>
      <w:r w:rsidR="002D5A84" w:rsidRPr="002C46F3">
        <w:rPr>
          <w:rFonts w:eastAsia="Georgia"/>
        </w:rPr>
        <w:t xml:space="preserve"> et de la répartition des budgets dédiés</w:t>
      </w:r>
      <w:r w:rsidR="0074268D">
        <w:rPr>
          <w:rFonts w:eastAsia="Georgia"/>
        </w:rPr>
        <w:t>.</w:t>
      </w:r>
    </w:p>
    <w:p w14:paraId="68A812DD" w14:textId="77777777" w:rsidR="0074268D" w:rsidRDefault="0074268D" w:rsidP="0074268D">
      <w:pPr>
        <w:spacing w:line="240" w:lineRule="auto"/>
        <w:jc w:val="both"/>
        <w:rPr>
          <w:rFonts w:eastAsia="Georgia"/>
        </w:rPr>
      </w:pPr>
    </w:p>
    <w:p w14:paraId="02CB32A1" w14:textId="77777777" w:rsidR="0074268D" w:rsidRDefault="0074268D" w:rsidP="0074268D">
      <w:pPr>
        <w:spacing w:line="240" w:lineRule="auto"/>
        <w:jc w:val="both"/>
        <w:rPr>
          <w:rFonts w:eastAsia="Georgia"/>
        </w:rPr>
      </w:pPr>
    </w:p>
    <w:p w14:paraId="720B21E5" w14:textId="77777777" w:rsidR="0074268D" w:rsidRDefault="0074268D" w:rsidP="0074268D">
      <w:pPr>
        <w:spacing w:line="240" w:lineRule="auto"/>
        <w:jc w:val="both"/>
        <w:rPr>
          <w:rFonts w:eastAsia="Georgia"/>
        </w:rPr>
      </w:pPr>
    </w:p>
    <w:p w14:paraId="5F7B2C52" w14:textId="77777777" w:rsidR="0074268D" w:rsidRDefault="0074268D" w:rsidP="0074268D">
      <w:pPr>
        <w:spacing w:line="240" w:lineRule="auto"/>
        <w:jc w:val="both"/>
        <w:rPr>
          <w:rFonts w:eastAsia="Georgia"/>
        </w:rPr>
      </w:pPr>
    </w:p>
    <w:p w14:paraId="6B790056" w14:textId="77777777" w:rsidR="0074268D" w:rsidRPr="002C46F3" w:rsidRDefault="0074268D" w:rsidP="0074268D">
      <w:pPr>
        <w:spacing w:line="240" w:lineRule="auto"/>
        <w:jc w:val="both"/>
        <w:rPr>
          <w:rFonts w:eastAsia="Georgia"/>
        </w:rPr>
      </w:pPr>
    </w:p>
    <w:p w14:paraId="7DD8F771" w14:textId="77777777" w:rsidR="002D5A84" w:rsidRDefault="002D5A84" w:rsidP="0074268D">
      <w:pPr>
        <w:spacing w:line="240" w:lineRule="auto"/>
        <w:rPr>
          <w:rFonts w:eastAsia="Georgia"/>
        </w:rPr>
      </w:pPr>
    </w:p>
    <w:p w14:paraId="59E8F1DA" w14:textId="77777777" w:rsidR="0074268D" w:rsidRPr="00256FFC" w:rsidRDefault="0074268D" w:rsidP="0074268D">
      <w:pPr>
        <w:jc w:val="both"/>
        <w:rPr>
          <w:rFonts w:eastAsia="Georgia"/>
          <w:b/>
          <w:i/>
          <w:iCs/>
          <w:sz w:val="24"/>
          <w:szCs w:val="24"/>
          <w:u w:val="single"/>
        </w:rPr>
      </w:pPr>
      <w:r w:rsidRPr="00256FFC">
        <w:rPr>
          <w:rFonts w:eastAsia="Georgia"/>
          <w:b/>
          <w:i/>
          <w:iCs/>
          <w:sz w:val="24"/>
          <w:szCs w:val="24"/>
          <w:u w:val="single"/>
        </w:rPr>
        <w:t>A propos du CIAESP</w:t>
      </w:r>
    </w:p>
    <w:p w14:paraId="46B7790C" w14:textId="77777777" w:rsidR="00256FFC" w:rsidRPr="00256FFC" w:rsidRDefault="00256FFC" w:rsidP="0074268D">
      <w:pPr>
        <w:jc w:val="both"/>
        <w:rPr>
          <w:rFonts w:eastAsia="Georgia"/>
          <w:b/>
          <w:i/>
          <w:iCs/>
          <w:sz w:val="24"/>
          <w:szCs w:val="24"/>
          <w:u w:val="single"/>
        </w:rPr>
      </w:pPr>
    </w:p>
    <w:p w14:paraId="15C32876" w14:textId="7A518FF4" w:rsidR="00256FFC" w:rsidRPr="00256FFC" w:rsidRDefault="00256FFC" w:rsidP="00256FFC">
      <w:pPr>
        <w:jc w:val="both"/>
        <w:rPr>
          <w:i/>
          <w:iCs/>
        </w:rPr>
      </w:pPr>
      <w:r>
        <w:rPr>
          <w:rStyle w:val="Accentuation"/>
        </w:rPr>
        <w:t>Le c</w:t>
      </w:r>
      <w:r w:rsidRPr="00256FFC">
        <w:rPr>
          <w:rStyle w:val="Accentuation"/>
        </w:rPr>
        <w:t>ollectif inter</w:t>
      </w:r>
      <w:r>
        <w:rPr>
          <w:rStyle w:val="Accentuation"/>
        </w:rPr>
        <w:t>-associatif</w:t>
      </w:r>
      <w:r w:rsidRPr="00256FFC">
        <w:rPr>
          <w:rStyle w:val="Accentuation"/>
        </w:rPr>
        <w:t xml:space="preserve"> d’élus pour la sécurité et la prévention (CIAESP)</w:t>
      </w:r>
      <w:r w:rsidR="00DE4D2E">
        <w:rPr>
          <w:i/>
          <w:iCs/>
        </w:rPr>
        <w:t xml:space="preserve"> est un mouvement qui a</w:t>
      </w:r>
      <w:r w:rsidRPr="00256FFC">
        <w:rPr>
          <w:i/>
          <w:iCs/>
        </w:rPr>
        <w:t xml:space="preserve"> notamment pour ambition de renforcer les relations entre les associations d’élus locaux afin d’échanger sur des problématiques communes et de s’assurer que leurs voix soient mieux prises en compte par l’Etat notamment à travers de nouvelles modalités de concertation. </w:t>
      </w:r>
    </w:p>
    <w:p w14:paraId="7AF3ECAA" w14:textId="4B6DE90D" w:rsidR="00256FFC" w:rsidRPr="00256FFC" w:rsidRDefault="00256FFC" w:rsidP="00256FFC">
      <w:pPr>
        <w:jc w:val="both"/>
        <w:rPr>
          <w:i/>
          <w:iCs/>
        </w:rPr>
      </w:pPr>
      <w:r w:rsidRPr="00256FFC">
        <w:rPr>
          <w:i/>
          <w:iCs/>
        </w:rPr>
        <w:t>Le CIAESP est composé de l’association Départements de France, l’Association des maires de France et des présidents d’intercommunalité, le Forum français pour la sécurité urbaine, France urbaine, Villes de France, Intercommunalités de France, l’Association des maires Ville et banlieue de France, l’Association des communes et collectivités D’Outre-mer. Renforcement de la prévention, relations population-forces de sécurité, drogues, violences intrafamiliales</w:t>
      </w:r>
      <w:r w:rsidR="003620A6">
        <w:rPr>
          <w:i/>
          <w:iCs/>
        </w:rPr>
        <w:t>, radicalisations,</w:t>
      </w:r>
      <w:r w:rsidRPr="00256FFC">
        <w:rPr>
          <w:i/>
          <w:iCs/>
        </w:rPr>
        <w:t xml:space="preserve"> font d’ailleurs partie des thématiques prioritaires </w:t>
      </w:r>
      <w:r w:rsidR="00DE4D2E">
        <w:rPr>
          <w:i/>
          <w:iCs/>
        </w:rPr>
        <w:t xml:space="preserve">du collectif. </w:t>
      </w:r>
    </w:p>
    <w:p w14:paraId="602565E7" w14:textId="77777777" w:rsidR="00256FFC" w:rsidRPr="0074268D" w:rsidRDefault="00256FFC" w:rsidP="0074268D">
      <w:pPr>
        <w:jc w:val="both"/>
        <w:rPr>
          <w:rFonts w:eastAsia="Georgia"/>
          <w:b/>
          <w:sz w:val="24"/>
          <w:szCs w:val="24"/>
          <w:u w:val="single"/>
        </w:rPr>
      </w:pPr>
    </w:p>
    <w:p w14:paraId="2BBBAD02" w14:textId="77777777" w:rsidR="0074268D" w:rsidRPr="002C46F3" w:rsidRDefault="0074268D" w:rsidP="0074268D">
      <w:pPr>
        <w:spacing w:line="240" w:lineRule="auto"/>
        <w:rPr>
          <w:b/>
          <w:sz w:val="32"/>
          <w:szCs w:val="32"/>
        </w:rPr>
      </w:pPr>
    </w:p>
    <w:p w14:paraId="7FE60601" w14:textId="77777777" w:rsidR="00622E7C" w:rsidRPr="002C46F3" w:rsidRDefault="00622E7C">
      <w:pPr>
        <w:spacing w:line="240" w:lineRule="auto"/>
        <w:jc w:val="center"/>
        <w:rPr>
          <w:b/>
          <w:sz w:val="32"/>
          <w:szCs w:val="32"/>
        </w:rPr>
      </w:pPr>
    </w:p>
    <w:p w14:paraId="7FE60657" w14:textId="77777777" w:rsidR="00622E7C" w:rsidRPr="002C46F3" w:rsidRDefault="00622E7C">
      <w:pPr>
        <w:spacing w:line="240" w:lineRule="auto"/>
        <w:jc w:val="both"/>
      </w:pPr>
    </w:p>
    <w:sectPr w:rsidR="00622E7C" w:rsidRPr="002C46F3">
      <w:footerReference w:type="default" r:id="rId1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E6066F" w14:textId="77777777" w:rsidR="005226F7" w:rsidRDefault="005226F7">
      <w:pPr>
        <w:spacing w:line="240" w:lineRule="auto"/>
      </w:pPr>
      <w:r>
        <w:separator/>
      </w:r>
    </w:p>
  </w:endnote>
  <w:endnote w:type="continuationSeparator" w:id="0">
    <w:p w14:paraId="7FE60671" w14:textId="77777777" w:rsidR="005226F7" w:rsidRDefault="005226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3E648E9-A18A-4AEB-8935-A85B65A2464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E9E69C50-07B6-41E9-8A61-89E5140F9095}"/>
    <w:embedBold r:id="rId3" w:fontKey="{57E79C60-99CC-4659-8F72-0A53D100ACAF}"/>
    <w:embedBoldItalic r:id="rId4" w:fontKey="{0CB2A3EF-7C58-46E0-ABB2-6E25E088FB8F}"/>
  </w:font>
  <w:font w:name="Segoe UI">
    <w:panose1 w:val="020B0502040204020203"/>
    <w:charset w:val="00"/>
    <w:family w:val="swiss"/>
    <w:pitch w:val="variable"/>
    <w:sig w:usb0="E4002EFF" w:usb1="C000E47F" w:usb2="00000009" w:usb3="00000000" w:csb0="000001FF" w:csb1="00000000"/>
    <w:embedRegular r:id="rId5" w:fontKey="{2596DA16-EADB-4A44-9AFD-FD7F226FD9FC}"/>
  </w:font>
  <w:font w:name="Calibri">
    <w:panose1 w:val="020F0502020204030204"/>
    <w:charset w:val="00"/>
    <w:family w:val="swiss"/>
    <w:pitch w:val="variable"/>
    <w:sig w:usb0="E4002EFF" w:usb1="C200247B" w:usb2="00000009" w:usb3="00000000" w:csb0="000001FF" w:csb1="00000000"/>
    <w:embedRegular r:id="rId6" w:fontKey="{C6964706-0E97-433C-922A-C438C72A117D}"/>
  </w:font>
  <w:font w:name="Cambria">
    <w:panose1 w:val="02040503050406030204"/>
    <w:charset w:val="00"/>
    <w:family w:val="roman"/>
    <w:pitch w:val="variable"/>
    <w:sig w:usb0="E00006FF" w:usb1="420024FF" w:usb2="02000000" w:usb3="00000000" w:csb0="0000019F" w:csb1="00000000"/>
    <w:embedRegular r:id="rId7" w:fontKey="{CAC6363D-1E2C-4747-83EB-F76646358F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60669" w14:textId="123553C2" w:rsidR="00622E7C" w:rsidRDefault="005226F7">
    <w:pPr>
      <w:pBdr>
        <w:top w:val="nil"/>
        <w:left w:val="nil"/>
        <w:bottom w:val="nil"/>
        <w:right w:val="nil"/>
        <w:between w:val="nil"/>
      </w:pBdr>
      <w:tabs>
        <w:tab w:val="center" w:pos="4536"/>
        <w:tab w:val="right" w:pos="9072"/>
      </w:tabs>
      <w:spacing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7FE6066A" w14:textId="77777777" w:rsidR="00622E7C" w:rsidRDefault="00622E7C">
    <w:pPr>
      <w:pBdr>
        <w:top w:val="nil"/>
        <w:left w:val="nil"/>
        <w:bottom w:val="nil"/>
        <w:right w:val="nil"/>
        <w:between w:val="nil"/>
      </w:pBdr>
      <w:tabs>
        <w:tab w:val="center" w:pos="4536"/>
        <w:tab w:val="right" w:pos="9072"/>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E6066B" w14:textId="77777777" w:rsidR="005226F7" w:rsidRDefault="005226F7">
      <w:pPr>
        <w:spacing w:line="240" w:lineRule="auto"/>
      </w:pPr>
      <w:r>
        <w:separator/>
      </w:r>
    </w:p>
  </w:footnote>
  <w:footnote w:type="continuationSeparator" w:id="0">
    <w:p w14:paraId="7FE6066D" w14:textId="77777777" w:rsidR="005226F7" w:rsidRDefault="005226F7">
      <w:pPr>
        <w:spacing w:line="240" w:lineRule="auto"/>
      </w:pPr>
      <w:r>
        <w:continuationSeparator/>
      </w:r>
    </w:p>
  </w:footnote>
  <w:footnote w:id="1">
    <w:p w14:paraId="664D8EA1" w14:textId="77777777" w:rsidR="002D5A84" w:rsidRDefault="002D5A84" w:rsidP="002D5A84">
      <w:pPr>
        <w:spacing w:line="240" w:lineRule="auto"/>
        <w:rPr>
          <w:sz w:val="20"/>
          <w:szCs w:val="20"/>
        </w:rPr>
      </w:pPr>
      <w:r>
        <w:rPr>
          <w:vertAlign w:val="superscript"/>
        </w:rPr>
        <w:footnoteRef/>
      </w:r>
      <w:r>
        <w:rPr>
          <w:sz w:val="20"/>
          <w:szCs w:val="20"/>
        </w:rPr>
        <w:t xml:space="preserve"> https://www.amf.asso.fr/documents-enqute-elusantre-maire-aujourdhuiengages-debordes-malmenes-quels-effets-sur-la-sante-/42389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C33BE"/>
    <w:multiLevelType w:val="multilevel"/>
    <w:tmpl w:val="8C8AF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1B173F"/>
    <w:multiLevelType w:val="multilevel"/>
    <w:tmpl w:val="00BEC1A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08F6693"/>
    <w:multiLevelType w:val="multilevel"/>
    <w:tmpl w:val="CE121A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47443F"/>
    <w:multiLevelType w:val="multilevel"/>
    <w:tmpl w:val="F39A1D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80F2EE5"/>
    <w:multiLevelType w:val="multilevel"/>
    <w:tmpl w:val="9DB0197E"/>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2B1B61B1"/>
    <w:multiLevelType w:val="multilevel"/>
    <w:tmpl w:val="23EA3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3632CF2"/>
    <w:multiLevelType w:val="multilevel"/>
    <w:tmpl w:val="F2AA07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67D2A8C"/>
    <w:multiLevelType w:val="multilevel"/>
    <w:tmpl w:val="CB08A43E"/>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5FA869E7"/>
    <w:multiLevelType w:val="multilevel"/>
    <w:tmpl w:val="3A00A2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27E587D"/>
    <w:multiLevelType w:val="multilevel"/>
    <w:tmpl w:val="F9BEA41E"/>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683F184C"/>
    <w:multiLevelType w:val="multilevel"/>
    <w:tmpl w:val="C5222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56F0636"/>
    <w:multiLevelType w:val="multilevel"/>
    <w:tmpl w:val="EA74E7A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2" w15:restartNumberingAfterBreak="0">
    <w:nsid w:val="75A74EF9"/>
    <w:multiLevelType w:val="multilevel"/>
    <w:tmpl w:val="C9263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06287031">
    <w:abstractNumId w:val="7"/>
  </w:num>
  <w:num w:numId="2" w16cid:durableId="1769497987">
    <w:abstractNumId w:val="1"/>
  </w:num>
  <w:num w:numId="3" w16cid:durableId="824737103">
    <w:abstractNumId w:val="10"/>
  </w:num>
  <w:num w:numId="4" w16cid:durableId="1491869651">
    <w:abstractNumId w:val="8"/>
  </w:num>
  <w:num w:numId="5" w16cid:durableId="1919636741">
    <w:abstractNumId w:val="0"/>
  </w:num>
  <w:num w:numId="6" w16cid:durableId="1547259361">
    <w:abstractNumId w:val="3"/>
  </w:num>
  <w:num w:numId="7" w16cid:durableId="1913200524">
    <w:abstractNumId w:val="9"/>
  </w:num>
  <w:num w:numId="8" w16cid:durableId="300887631">
    <w:abstractNumId w:val="4"/>
  </w:num>
  <w:num w:numId="9" w16cid:durableId="103769177">
    <w:abstractNumId w:val="2"/>
  </w:num>
  <w:num w:numId="10" w16cid:durableId="1499616768">
    <w:abstractNumId w:val="5"/>
  </w:num>
  <w:num w:numId="11" w16cid:durableId="1987929413">
    <w:abstractNumId w:val="6"/>
  </w:num>
  <w:num w:numId="12" w16cid:durableId="1409032126">
    <w:abstractNumId w:val="12"/>
  </w:num>
  <w:num w:numId="13" w16cid:durableId="3498449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E7C"/>
    <w:rsid w:val="00001E64"/>
    <w:rsid w:val="001A7146"/>
    <w:rsid w:val="00216C47"/>
    <w:rsid w:val="00256FFC"/>
    <w:rsid w:val="002C46F3"/>
    <w:rsid w:val="002D1997"/>
    <w:rsid w:val="002D5A84"/>
    <w:rsid w:val="003620A6"/>
    <w:rsid w:val="00425603"/>
    <w:rsid w:val="00445D65"/>
    <w:rsid w:val="004627C8"/>
    <w:rsid w:val="005226F7"/>
    <w:rsid w:val="00523FFE"/>
    <w:rsid w:val="005B7227"/>
    <w:rsid w:val="00622E7C"/>
    <w:rsid w:val="00676DD0"/>
    <w:rsid w:val="0074268D"/>
    <w:rsid w:val="007B51E2"/>
    <w:rsid w:val="00825D3F"/>
    <w:rsid w:val="0088774C"/>
    <w:rsid w:val="008B21C9"/>
    <w:rsid w:val="00943A4C"/>
    <w:rsid w:val="0098194D"/>
    <w:rsid w:val="009D6FA2"/>
    <w:rsid w:val="00A25DE4"/>
    <w:rsid w:val="00AE2272"/>
    <w:rsid w:val="00B00C79"/>
    <w:rsid w:val="00BB4603"/>
    <w:rsid w:val="00C034C6"/>
    <w:rsid w:val="00C323B9"/>
    <w:rsid w:val="00C609F1"/>
    <w:rsid w:val="00C967DA"/>
    <w:rsid w:val="00D50556"/>
    <w:rsid w:val="00DE4483"/>
    <w:rsid w:val="00DE4D2E"/>
    <w:rsid w:val="00F3143B"/>
    <w:rsid w:val="00F6647A"/>
    <w:rsid w:val="00F927D0"/>
    <w:rsid w:val="00FB2A0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605EE"/>
  <w15:docId w15:val="{37D380B1-DA36-4DEB-A4F1-FF1311CE9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00" w:after="120"/>
    </w:pPr>
    <w:rPr>
      <w:rFonts w:ascii="Georgia" w:eastAsia="Georgia" w:hAnsi="Georgia" w:cs="Georgia"/>
      <w:b/>
      <w:sz w:val="28"/>
      <w:szCs w:val="28"/>
    </w:rPr>
  </w:style>
  <w:style w:type="table" w:customStyle="1" w:styleId="TableNormal0">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6852F7"/>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852F7"/>
    <w:rPr>
      <w:rFonts w:ascii="Segoe UI" w:hAnsi="Segoe UI" w:cs="Segoe UI"/>
      <w:sz w:val="18"/>
      <w:szCs w:val="18"/>
    </w:rPr>
  </w:style>
  <w:style w:type="table" w:styleId="Grilledutableau">
    <w:name w:val="Table Grid"/>
    <w:basedOn w:val="TableauNormal"/>
    <w:uiPriority w:val="39"/>
    <w:rsid w:val="00DD5C2E"/>
    <w:pPr>
      <w:spacing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5A2F9C"/>
    <w:pPr>
      <w:tabs>
        <w:tab w:val="center" w:pos="4536"/>
        <w:tab w:val="right" w:pos="9072"/>
      </w:tabs>
      <w:spacing w:line="240" w:lineRule="auto"/>
    </w:pPr>
  </w:style>
  <w:style w:type="character" w:customStyle="1" w:styleId="En-tteCar">
    <w:name w:val="En-tête Car"/>
    <w:basedOn w:val="Policepardfaut"/>
    <w:link w:val="En-tte"/>
    <w:uiPriority w:val="99"/>
    <w:rsid w:val="005A2F9C"/>
  </w:style>
  <w:style w:type="paragraph" w:styleId="Pieddepage">
    <w:name w:val="footer"/>
    <w:basedOn w:val="Normal"/>
    <w:link w:val="PieddepageCar"/>
    <w:uiPriority w:val="99"/>
    <w:unhideWhenUsed/>
    <w:rsid w:val="005A2F9C"/>
    <w:pPr>
      <w:tabs>
        <w:tab w:val="center" w:pos="4536"/>
        <w:tab w:val="right" w:pos="9072"/>
      </w:tabs>
      <w:spacing w:line="240" w:lineRule="auto"/>
    </w:pPr>
  </w:style>
  <w:style w:type="character" w:customStyle="1" w:styleId="PieddepageCar">
    <w:name w:val="Pied de page Car"/>
    <w:basedOn w:val="Policepardfaut"/>
    <w:link w:val="Pieddepage"/>
    <w:uiPriority w:val="99"/>
    <w:rsid w:val="005A2F9C"/>
  </w:style>
  <w:style w:type="paragraph" w:styleId="Paragraphedeliste">
    <w:name w:val="List Paragraph"/>
    <w:basedOn w:val="Normal"/>
    <w:uiPriority w:val="34"/>
    <w:qFormat/>
    <w:rsid w:val="005A2F9C"/>
    <w:pPr>
      <w:ind w:left="720"/>
      <w:contextualSpacing/>
    </w:pPr>
  </w:style>
  <w:style w:type="table" w:customStyle="1" w:styleId="a2">
    <w:basedOn w:val="TableNormal0"/>
    <w:pPr>
      <w:spacing w:line="240" w:lineRule="auto"/>
    </w:pPr>
    <w:tblPr>
      <w:tblStyleRowBandSize w:val="1"/>
      <w:tblStyleColBandSize w:val="1"/>
      <w:tblCellMar>
        <w:left w:w="108" w:type="dxa"/>
        <w:right w:w="108" w:type="dxa"/>
      </w:tblCellMar>
    </w:tblPr>
  </w:style>
  <w:style w:type="character" w:styleId="Accentuation">
    <w:name w:val="Emphasis"/>
    <w:basedOn w:val="Policepardfaut"/>
    <w:uiPriority w:val="20"/>
    <w:qFormat/>
    <w:rsid w:val="00256F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976545">
      <w:bodyDiv w:val="1"/>
      <w:marLeft w:val="0"/>
      <w:marRight w:val="0"/>
      <w:marTop w:val="0"/>
      <w:marBottom w:val="0"/>
      <w:divBdr>
        <w:top w:val="none" w:sz="0" w:space="0" w:color="auto"/>
        <w:left w:val="none" w:sz="0" w:space="0" w:color="auto"/>
        <w:bottom w:val="none" w:sz="0" w:space="0" w:color="auto"/>
        <w:right w:val="none" w:sz="0" w:space="0" w:color="auto"/>
      </w:divBdr>
    </w:div>
    <w:div w:id="4673586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0bdb2e8-b989-49a4-9a93-7a4e31f92147">
      <Terms xmlns="http://schemas.microsoft.com/office/infopath/2007/PartnerControls"/>
    </lcf76f155ced4ddcb4097134ff3c332f>
    <TaxCatchAll xmlns="eed53861-ab12-49db-b7b9-4f9d59268e53"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Ajqhe+B4dyN6uQc9iy95w9zpJw==">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</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EB8EF6788A41B044B7CA19DA78BEA44D" ma:contentTypeVersion="18" ma:contentTypeDescription="Crée un document." ma:contentTypeScope="" ma:versionID="6291c7fa5a6ea5be4eb3ebd7296eb38c">
  <xsd:schema xmlns:xsd="http://www.w3.org/2001/XMLSchema" xmlns:xs="http://www.w3.org/2001/XMLSchema" xmlns:p="http://schemas.microsoft.com/office/2006/metadata/properties" xmlns:ns2="00bdb2e8-b989-49a4-9a93-7a4e31f92147" xmlns:ns3="eed53861-ab12-49db-b7b9-4f9d59268e53" targetNamespace="http://schemas.microsoft.com/office/2006/metadata/properties" ma:root="true" ma:fieldsID="9092957f03ad1e91ea285825b75c6e81" ns2:_="" ns3:_="">
    <xsd:import namespace="00bdb2e8-b989-49a4-9a93-7a4e31f92147"/>
    <xsd:import namespace="eed53861-ab12-49db-b7b9-4f9d59268e5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bdb2e8-b989-49a4-9a93-7a4e31f921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30b7c8ab-d3aa-484c-9fb3-6ea2bd10d8d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d53861-ab12-49db-b7b9-4f9d59268e53"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b948c39f-5455-44f0-9112-09d8253e4f87}" ma:internalName="TaxCatchAll" ma:showField="CatchAllData" ma:web="eed53861-ab12-49db-b7b9-4f9d59268e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61C62B-80DA-45AB-94D8-54308E892B73}">
  <ds:schemaRefs>
    <ds:schemaRef ds:uri="http://schemas.microsoft.com/sharepoint/v3/contenttype/forms"/>
  </ds:schemaRefs>
</ds:datastoreItem>
</file>

<file path=customXml/itemProps2.xml><?xml version="1.0" encoding="utf-8"?>
<ds:datastoreItem xmlns:ds="http://schemas.openxmlformats.org/officeDocument/2006/customXml" ds:itemID="{ABFF701B-FAA6-42AF-B43F-FB564043B2CB}">
  <ds:schemaRefs>
    <ds:schemaRef ds:uri="http://schemas.microsoft.com/office/2006/metadata/properties"/>
    <ds:schemaRef ds:uri="http://schemas.microsoft.com/office/infopath/2007/PartnerControls"/>
    <ds:schemaRef ds:uri="00bdb2e8-b989-49a4-9a93-7a4e31f92147"/>
    <ds:schemaRef ds:uri="eed53861-ab12-49db-b7b9-4f9d59268e53"/>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19FE8980-1A36-475C-B9A6-4F7D52A5C8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bdb2e8-b989-49a4-9a93-7a4e31f92147"/>
    <ds:schemaRef ds:uri="eed53861-ab12-49db-b7b9-4f9d59268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1646</Words>
  <Characters>9059</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PAOLI Patricia</dc:creator>
  <cp:lastModifiedBy>Honoré BOUSSAMBA</cp:lastModifiedBy>
  <cp:revision>3</cp:revision>
  <dcterms:created xsi:type="dcterms:W3CDTF">2025-06-16T14:45:00Z</dcterms:created>
  <dcterms:modified xsi:type="dcterms:W3CDTF">2025-06-17T07:51:00Z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0x010100EB8EF6788A41B044B7CA19DA78BEA44D</vt:lpwstr>
  </property>
</Properties>
</file>